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025D1" w14:textId="77777777" w:rsidR="0065088E" w:rsidRDefault="00207BA5">
      <w:pPr>
        <w:spacing w:before="1800"/>
        <w:jc w:val="center"/>
      </w:pPr>
      <w:r>
        <w:rPr>
          <w:b/>
          <w:sz w:val="32"/>
        </w:rPr>
        <w:t>FYCS Non-Thesis Project Proposal</w:t>
      </w:r>
    </w:p>
    <w:p w14:paraId="6FD7A8AD" w14:textId="77777777" w:rsidR="0065088E" w:rsidRDefault="00207BA5">
      <w:pPr>
        <w:jc w:val="center"/>
      </w:pPr>
      <w:r>
        <w:rPr>
          <w:b/>
        </w:rPr>
        <w:t>Bridging the Accommodation Gap: A Student-Centered Access and Transition Hub for Students With Invisible Disabilities</w:t>
      </w:r>
    </w:p>
    <w:p w14:paraId="3F6EE850" w14:textId="77777777" w:rsidR="0065088E" w:rsidRDefault="00207BA5">
      <w:pPr>
        <w:jc w:val="center"/>
      </w:pPr>
      <w:r>
        <w:t>Eric S. Fishon</w:t>
      </w:r>
    </w:p>
    <w:p w14:paraId="1CD31B75" w14:textId="77777777" w:rsidR="0065088E" w:rsidRDefault="00207BA5">
      <w:pPr>
        <w:jc w:val="center"/>
      </w:pPr>
      <w:r>
        <w:t>Family, Youth and Community Sciences</w:t>
      </w:r>
    </w:p>
    <w:p w14:paraId="69D11B89" w14:textId="77777777" w:rsidR="0065088E" w:rsidRDefault="00207BA5">
      <w:pPr>
        <w:jc w:val="center"/>
      </w:pPr>
      <w:r>
        <w:t>University of Florida</w:t>
      </w:r>
    </w:p>
    <w:p w14:paraId="161A5447" w14:textId="77777777" w:rsidR="0065088E" w:rsidRDefault="00207BA5">
      <w:pPr>
        <w:jc w:val="center"/>
      </w:pPr>
      <w:r>
        <w:t>FYC 6901 - Fall 2026</w:t>
      </w:r>
    </w:p>
    <w:p w14:paraId="0B1FE4CA" w14:textId="77777777" w:rsidR="0065088E" w:rsidRDefault="00207BA5">
      <w:pPr>
        <w:jc w:val="center"/>
      </w:pPr>
      <w:r>
        <w:t>Committee Chair: Dr. Dale Pracht</w:t>
      </w:r>
    </w:p>
    <w:p w14:paraId="6198C750" w14:textId="77777777" w:rsidR="0065088E" w:rsidRDefault="00207BA5">
      <w:pPr>
        <w:jc w:val="center"/>
      </w:pPr>
      <w:r>
        <w:t>Committee Member: Dr. K</w:t>
      </w:r>
    </w:p>
    <w:p w14:paraId="3D232F2A" w14:textId="77777777" w:rsidR="0065088E" w:rsidRDefault="00207BA5">
      <w:pPr>
        <w:jc w:val="center"/>
      </w:pPr>
      <w:r>
        <w:t>Committee Proposal Defense Draft</w:t>
      </w:r>
    </w:p>
    <w:p w14:paraId="09D535B4" w14:textId="77777777" w:rsidR="0065088E" w:rsidRDefault="00207BA5">
      <w:pPr>
        <w:jc w:val="center"/>
      </w:pPr>
      <w:r>
        <w:t>September 2, 2026</w:t>
      </w:r>
    </w:p>
    <w:p w14:paraId="5379ECE4" w14:textId="77777777" w:rsidR="0065088E" w:rsidRDefault="00207BA5">
      <w:r>
        <w:br w:type="page"/>
      </w:r>
    </w:p>
    <w:p w14:paraId="0781D101" w14:textId="77777777" w:rsidR="0065088E" w:rsidRDefault="00207BA5">
      <w:pPr>
        <w:pStyle w:val="Heading1"/>
      </w:pPr>
      <w:r>
        <w:lastRenderedPageBreak/>
        <w:t>FYCS Non-Thesis Project Proposal</w:t>
      </w:r>
    </w:p>
    <w:p w14:paraId="1A3BD59A" w14:textId="77777777" w:rsidR="0065088E" w:rsidRDefault="00207BA5">
      <w:r>
        <w:rPr>
          <w:b/>
        </w:rPr>
        <w:t xml:space="preserve">Name: </w:t>
      </w:r>
      <w:r>
        <w:t>Eric S. Fishon</w:t>
      </w:r>
    </w:p>
    <w:p w14:paraId="047E3E4E" w14:textId="77777777" w:rsidR="0065088E" w:rsidRDefault="00207BA5">
      <w:r>
        <w:rPr>
          <w:b/>
        </w:rPr>
        <w:t xml:space="preserve">Course: </w:t>
      </w:r>
      <w:r>
        <w:t>FYC 6901, Fall 2026</w:t>
      </w:r>
    </w:p>
    <w:p w14:paraId="7A28E324" w14:textId="77777777" w:rsidR="0065088E" w:rsidRDefault="00207BA5">
      <w:r>
        <w:rPr>
          <w:b/>
        </w:rPr>
        <w:t xml:space="preserve">Committee Chair: </w:t>
      </w:r>
      <w:r>
        <w:t>Dr. Dale Pracht</w:t>
      </w:r>
    </w:p>
    <w:p w14:paraId="0D9ECDBF" w14:textId="77777777" w:rsidR="0065088E" w:rsidRDefault="00207BA5">
      <w:r>
        <w:rPr>
          <w:b/>
        </w:rPr>
        <w:t xml:space="preserve">Committee Member: </w:t>
      </w:r>
      <w:r>
        <w:t>Dr. K</w:t>
      </w:r>
    </w:p>
    <w:p w14:paraId="2047E0FF" w14:textId="77777777" w:rsidR="0065088E" w:rsidRDefault="00207BA5">
      <w:pPr>
        <w:pStyle w:val="Heading1"/>
      </w:pPr>
      <w:r>
        <w:t>1. Project Title</w:t>
      </w:r>
    </w:p>
    <w:p w14:paraId="385F6FE6" w14:textId="77777777" w:rsidR="00B97D0E" w:rsidRDefault="00B97D0E">
      <w:pPr>
        <w:rPr>
          <w:kern w:val="2"/>
          <w:szCs w:val="24"/>
          <w14:ligatures w14:val="standardContextual"/>
        </w:rPr>
      </w:pPr>
      <w:r w:rsidRPr="001E71AC">
        <w:t>This proposal is organized for the FYCS non-thesis project form context. It summarizes the project title, goal, rationale, three-paper structure, literature-review framework, methods and project approach, applied product, resources and stakeholders, ethical boundaries, timeline, anticipated final submission, references, and appendix materials.</w:t>
      </w:r>
    </w:p>
    <w:p w14:paraId="008F4A7E" w14:textId="5A52383C" w:rsidR="0065088E" w:rsidRDefault="00207BA5">
      <w:r>
        <w:t xml:space="preserve">Bridging the Accommodation Gap: A Student-Centered Access and Transition Hub for Students </w:t>
      </w:r>
      <w:r w:rsidR="001F5C6D">
        <w:t>with</w:t>
      </w:r>
      <w:r>
        <w:t xml:space="preserve"> Invisible Disabilities</w:t>
      </w:r>
    </w:p>
    <w:p w14:paraId="14296B90" w14:textId="77777777" w:rsidR="0065088E" w:rsidRDefault="00207BA5">
      <w:pPr>
        <w:pStyle w:val="Heading1"/>
      </w:pPr>
      <w:r>
        <w:t>2. Project Goal</w:t>
      </w:r>
    </w:p>
    <w:p w14:paraId="67BF1F78" w14:textId="0C1E19E7" w:rsidR="00207BA5" w:rsidRDefault="00207BA5" w:rsidP="005F3009">
      <w:r>
        <w:t xml:space="preserve">The goal of this non-thesis project is to examine accommodation, accessibility, navigation, self-advocacy, and support-continuity needs affecting students with invisible or </w:t>
      </w:r>
      <w:r w:rsidR="001F5C6D">
        <w:t>non-apparent</w:t>
      </w:r>
      <w:r>
        <w:t xml:space="preserve"> disabilities as they move from secondary education into postsecondary education. </w:t>
      </w:r>
      <w:r w:rsidR="00B03A56" w:rsidRPr="00B03A56">
        <w:t xml:space="preserve">Within the form context, the proposal identifies the academic focus, evidence base, applied product, and completion plan rather than presenting a full thesis design. </w:t>
      </w:r>
      <w:r>
        <w:t>The project will identify what supports and resources already exist, determine where meaningful gaps remain between available information and usable access, and translate the resulting evidence into a student-centered bridge framework.</w:t>
      </w:r>
    </w:p>
    <w:p w14:paraId="4D44F2AE" w14:textId="77777777" w:rsidR="0065088E" w:rsidRDefault="00207BA5">
      <w:r>
        <w:lastRenderedPageBreak/>
        <w:t>The project will use a three-paper, publication-oriented structure. Paper 1 is a structured needs assessment focused on transition readiness, self-advocacy, disclosure, navigation, and access. Paper 2 is a structured resource and gap analysis examining the systems, services, disability-support processes, assistive technologies, and digital resources that currently address those needs and the gaps that remain. Paper 3 will synthesize the findings into an evidence-informed applied response: a student-centered</w:t>
      </w:r>
      <w:r>
        <w:t xml:space="preserve"> access and transition hub, accompanied by a drafted web-based application or tool that demonstrates how research findings could be translated into practical navigation, self-advocacy, accessibility, and support-review functions. Each paper will be prepared as a stand-alone scholarly manuscript suitable for refinement and possible submission to an appropriate peer-reviewed journal.</w:t>
      </w:r>
    </w:p>
    <w:p w14:paraId="691EEC5D" w14:textId="77777777" w:rsidR="0065088E" w:rsidRDefault="00207BA5">
      <w:r>
        <w:t>The web-based component will be a bounded design demonstration rather than a tested intervention or student-record system. It may include plain-language transition guidance, barrier and support reflection, accommodation-preparation tools, verified resource navigation, Universal Design-informed presentation, and carefully bounded human-guided artificial intelligence functions. Technology will support student agency and human decision making; it will not diagnose disability, determine eligibility, prescribe a</w:t>
      </w:r>
      <w:r>
        <w:t>ccommodations, replace disability-services professionals, or make institutional decisions.</w:t>
      </w:r>
    </w:p>
    <w:p w14:paraId="625EAA90" w14:textId="77777777" w:rsidR="0065088E" w:rsidRDefault="00207BA5">
      <w:pPr>
        <w:pStyle w:val="Heading2"/>
      </w:pPr>
      <w:r>
        <w:t>Project Continuity and Academic Boundaries</w:t>
      </w:r>
    </w:p>
    <w:p w14:paraId="64C23D0A" w14:textId="77777777" w:rsidR="0065088E" w:rsidRDefault="00207BA5">
      <w:r>
        <w:t xml:space="preserve">Inclusive Pathways Collaborative (IPC) and Bridging the Gap provide the broader organizational and public-facing ecosystem for this body of work. The University of Florida non-thesis project is a distinct academic contribution within that ecosystem. The broader hub may eventually contain resources spanning K-12, higher education, community participation, and adult learning, but the present UF project is deliberately bounded to the secondary-to-postsecondary transition </w:t>
      </w:r>
      <w:r>
        <w:lastRenderedPageBreak/>
        <w:t>and the early postsecondary access experience. This boundary preserves feasibility while allowing the completed work to become a foundation for broader systems, policy, implementation, and evaluation research in later doctoral study.</w:t>
      </w:r>
    </w:p>
    <w:p w14:paraId="422552FA" w14:textId="77777777" w:rsidR="00207BA5" w:rsidRDefault="00207BA5" w:rsidP="00034DEA">
      <w:r>
        <w:t>Earlier Living Access Review work focused more narrowly on grades 6</w:t>
      </w:r>
      <w:r w:rsidR="007B35DD" w:rsidRPr="007B35DD">
        <w:t>–</w:t>
      </w:r>
      <w:r>
        <w:t>12 and family-school accommodation implementation. Those materials remain useful as design precursors, especially for student voice, barrier identification, fluctuation, implementation review, and family knowledge. They will not define the final population or product by themselves. The current research sequence places the student at the center and examines the bridge from secondary preparation to postsecondary access.</w:t>
      </w:r>
    </w:p>
    <w:p w14:paraId="17414BB1" w14:textId="77777777" w:rsidR="0065088E" w:rsidRDefault="00207BA5">
      <w:pPr>
        <w:pStyle w:val="Heading1"/>
      </w:pPr>
      <w:r>
        <w:t>3. Rationale and Statement of the Problem</w:t>
      </w:r>
    </w:p>
    <w:p w14:paraId="3F01873D" w14:textId="77777777" w:rsidR="0065088E" w:rsidRDefault="00207BA5">
      <w:pPr>
        <w:pStyle w:val="Heading2"/>
      </w:pPr>
      <w:r>
        <w:t>The Transition Changes the Access System</w:t>
      </w:r>
    </w:p>
    <w:p w14:paraId="38AE0301" w14:textId="77777777" w:rsidR="0065088E" w:rsidRDefault="00207BA5">
      <w:r>
        <w:t xml:space="preserve">Students with invisible or nonapparent disabilities may enter college with substantial academic ability and prior experience using supports while still being underprepared for the procedural and self-advocacy demands of postsecondary access. Federal guidance emphasizes that postsecondary students generally must identify themselves to the institution, follow institutional procedures, and request academic adjustments; the individualized education program structure of IDEA does not continue into college (U.S. </w:t>
      </w:r>
      <w:r>
        <w:t>Department of Education, Office for Civil Rights [OCR], 2011, n.d.). This legal and procedural change makes the transition more than a change of campus. It is a transfer of access responsibility that can expose gaps in self-knowledge, disclosure decision making, navigation, communication, and follow-up.</w:t>
      </w:r>
    </w:p>
    <w:p w14:paraId="06B62106" w14:textId="77777777" w:rsidR="0065088E" w:rsidRDefault="00207BA5">
      <w:r>
        <w:t xml:space="preserve">Recent evidence supports treating these demands as both developmental and systemic. Cho and Jones (2024) connect law, self-determination, self-advocacy, and campus resources in the </w:t>
      </w:r>
      <w:r>
        <w:lastRenderedPageBreak/>
        <w:t>experiences of college students with disabilities. Kline and Davidson (2022) document disclosure, hiding, and support concerns among college students with invisible illnesses and disabilities, while Melián and Meneses (2022) show that disclosure experiences in online higher education are shaped by context and institutional processes. Parsons et al. (2023) similarly identify transition and accommodation experiences that require students to navigate changing expectations. Together, these findings support a br</w:t>
      </w:r>
      <w:r>
        <w:t>idge model in which increasing student agency is paired with understandable systems and continued human support rather than interpreted as a requirement that students manage every access problem alone.</w:t>
      </w:r>
    </w:p>
    <w:p w14:paraId="141D86A0" w14:textId="77777777" w:rsidR="0065088E" w:rsidRDefault="00207BA5">
      <w:pPr>
        <w:pStyle w:val="Heading2"/>
      </w:pPr>
      <w:r>
        <w:t>From Documentation to Usable Access</w:t>
      </w:r>
    </w:p>
    <w:p w14:paraId="4BC25861" w14:textId="77777777" w:rsidR="0065088E" w:rsidRDefault="00207BA5">
      <w:r>
        <w:t>The existence of an accommodation, disability-services office, transition guide, or assistive technology does not by itself establish usable access. Paper 2 already indicates that substantial resources exist; the more defensible gap is the continuity between information and action. Students may still need to determine what is happening, identify the correct institutional contact, explain the barrier, activate or implement an approved accommodation, evaluate whether the support works in a particular course o</w:t>
      </w:r>
      <w:r>
        <w:t>r context, and decide when to return for help. Accommodation use and outcomes can vary, and implementation may require continuing coordination and adjustment (Blasey et al., 2023; Edwards et al., 2022; Tufty et al., 2024).</w:t>
      </w:r>
    </w:p>
    <w:p w14:paraId="79C55A2D" w14:textId="77777777" w:rsidR="0065088E" w:rsidRDefault="00207BA5">
      <w:r>
        <w:t xml:space="preserve">This distinction is especially important for invisible disabilities because the student may be the only person who can identify a barrier that is not externally apparent. Disclosure may therefore become a gateway to support, but disclosure can also involve stigma, credibility concerns, uncertainty, and strategic decisions about when and to whom disability-related information should be shared (Kline &amp; Davidson, 2022; Melián &amp; Meneses, 2022). A student-centered bridge </w:t>
      </w:r>
      <w:r>
        <w:lastRenderedPageBreak/>
        <w:t>must therefore support articulation and choice without requiring unnecessary disclosure or treating the student as a passive recipient of professional interpretation.</w:t>
      </w:r>
    </w:p>
    <w:p w14:paraId="2321617E" w14:textId="77777777" w:rsidR="0065088E" w:rsidRDefault="00207BA5">
      <w:pPr>
        <w:pStyle w:val="Heading2"/>
      </w:pPr>
      <w:r>
        <w:t>Universal Design, Assistive Technology, and Institutional Capacity</w:t>
      </w:r>
    </w:p>
    <w:p w14:paraId="52A5DD0A" w14:textId="77777777" w:rsidR="0065088E" w:rsidRDefault="00207BA5">
      <w:r>
        <w:t>Universal Design for Learning (UDL) provides a cross-cutting framework for reducing unnecessary barriers before an individual accommodation is requested. CAST (2024) emphasizes learner agency and multiple pathways for engagement, representation, and action or expression. In higher education, Cumming and Rose (2022) describe UDL as an accessibility tool, while Edwards et al. (2022) examine the relationship between academic accommodations and the potential of universal design to address student needs. UDL doe</w:t>
      </w:r>
      <w:r>
        <w:t>s not eliminate individualized accommodations; rather, it can reduce avoidable friction while accommodations address needs that remain individual or context-specific.</w:t>
      </w:r>
    </w:p>
    <w:p w14:paraId="401DA04D" w14:textId="77777777" w:rsidR="0065088E" w:rsidRDefault="00207BA5">
      <w:r>
        <w:t xml:space="preserve">Assistive technology is similarly most useful when the student, task, technology, training, and environment are aligned. McNicholl et al. (2021) found academic and psychosocial benefits across portions of the higher-education assistive-technology literature, and McNicholl et al. (2023) linked met and unmet assistive-technology needs with educational engagement and psychosocial outcomes. These findings caution against a technology-first solution. The applied tool emerging from this project must be justified </w:t>
      </w:r>
      <w:r>
        <w:t>by a verified gap and must complement, rather than duplicate or replace, human support systems.</w:t>
      </w:r>
    </w:p>
    <w:p w14:paraId="4B9B7161" w14:textId="77777777" w:rsidR="0065088E" w:rsidRDefault="00207BA5">
      <w:r>
        <w:t xml:space="preserve">Institutional capacity also shapes whether access becomes usable in practice. Faculty development that addresses disability law, Universal Design, accessible learning, and student perspectives can improve understanding and willingness to provide accessible materials and accommodations (Hsiao et al., 2019). The project therefore treats transition as a shared </w:t>
      </w:r>
      <w:r>
        <w:lastRenderedPageBreak/>
        <w:t>responsibility across students, families and transition professionals, disability-services offices, faculty, institutions, and community resources.</w:t>
      </w:r>
    </w:p>
    <w:p w14:paraId="2559740D" w14:textId="77777777" w:rsidR="0065088E" w:rsidRDefault="00207BA5">
      <w:pPr>
        <w:pStyle w:val="Heading2"/>
      </w:pPr>
      <w:r>
        <w:t>Artificial Intelligence as a Bounded Access Support</w:t>
      </w:r>
    </w:p>
    <w:p w14:paraId="73C5DA15" w14:textId="77777777" w:rsidR="0065088E" w:rsidRDefault="00207BA5">
      <w:r>
        <w:t>Generative artificial intelligence is included as one possible support within the broader access ecosystem, not as the central problem or predetermined solution. Students with disabilities report using generative AI for writing, reading, planning, organization, and other academic tasks while also identifying concerns about accuracy, cost, accessibility, and academic-integrity policy (Pierrès et al., 2025; Zhao et al., 2025). Zhao et al. (2026) identify affordances relevant to academic writing, while Coughla</w:t>
      </w:r>
      <w:r>
        <w:t>n and Iniesto (2025) demonstrate that a conversational assistant can be situated within a disability-information process when capability boundaries and institutional integration are explicit. Critical disability scholarship also cautions that AI systems can reproduce ableist assumptions when normative communication or performance is treated as the default (Foley &amp; Melese, 2025).</w:t>
      </w:r>
    </w:p>
    <w:p w14:paraId="084C3CC9" w14:textId="77777777" w:rsidR="0065088E" w:rsidRDefault="00207BA5">
      <w:r>
        <w:t>Accordingly, any AI-enabled element of the proposed hub will be human-guided and transparent. Candidate functions include organizing student-entered information, rewriting institutional information in clearer language, helping a student prepare questions, locating verified resources, documenting an access concern, or supporting an authorship/process record when AI is used in academic work. AI will not infer diagnoses, determine legal rights, select accommodations autonomously, or replace institutional accom</w:t>
      </w:r>
      <w:r>
        <w:t>modation processes.</w:t>
      </w:r>
    </w:p>
    <w:p w14:paraId="6FC4A6E2" w14:textId="77777777" w:rsidR="0065088E" w:rsidRDefault="00207BA5">
      <w:pPr>
        <w:pStyle w:val="Heading2"/>
      </w:pPr>
      <w:r>
        <w:t>Significance to Family, Youth, and Community Sciences</w:t>
      </w:r>
    </w:p>
    <w:p w14:paraId="66433152" w14:textId="77777777" w:rsidR="0065088E" w:rsidRDefault="00207BA5">
      <w:r>
        <w:t xml:space="preserve">The project aligns with Family, Youth and Community Sciences because transition is shaped by linked relationships and systems rather than by the student alone. Families and secondary </w:t>
      </w:r>
      <w:r>
        <w:lastRenderedPageBreak/>
        <w:t>educators may provide substantial structure before graduation; postsecondary institutions then expect greater student initiation. A bioecological perspective helps explain why self-advocacy and access develop through recurring interactions among the person, relationships, institutional settings, and time (Bronfenbrenner &amp; Morris, 2006). Emerging adulthood also provides a useful contextual frame for the growing negotiation of roles and responsibility during the late teens and twenties (Arnett, 2000). The pro</w:t>
      </w:r>
      <w:r>
        <w:t>ject therefore focuses on how support can shift toward greater student leadership without disappearing at the moment a student enters college.</w:t>
      </w:r>
    </w:p>
    <w:p w14:paraId="3AC8157E" w14:textId="77777777" w:rsidR="0065088E" w:rsidRDefault="00207BA5">
      <w:pPr>
        <w:pStyle w:val="Heading1"/>
      </w:pPr>
      <w:r>
        <w:t>4. Three-Paper Research and Publication Architecture</w:t>
      </w:r>
    </w:p>
    <w:tbl>
      <w:tblPr>
        <w:tblStyle w:val="TableGrid"/>
        <w:tblW w:w="0" w:type="auto"/>
        <w:jc w:val="center"/>
        <w:tblLook w:val="04A0" w:firstRow="1" w:lastRow="0" w:firstColumn="1" w:lastColumn="0" w:noHBand="0" w:noVBand="1"/>
      </w:tblPr>
      <w:tblGrid>
        <w:gridCol w:w="2336"/>
        <w:gridCol w:w="2339"/>
        <w:gridCol w:w="2336"/>
        <w:gridCol w:w="2339"/>
      </w:tblGrid>
      <w:tr w:rsidR="0065088E" w14:paraId="30228C07" w14:textId="77777777">
        <w:trPr>
          <w:jc w:val="center"/>
        </w:trPr>
        <w:tc>
          <w:tcPr>
            <w:tcW w:w="2340" w:type="dxa"/>
            <w:vAlign w:val="center"/>
          </w:tcPr>
          <w:p w14:paraId="28ED6289" w14:textId="77777777" w:rsidR="0065088E" w:rsidRDefault="00207BA5">
            <w:pPr>
              <w:spacing w:before="60" w:after="60" w:line="240" w:lineRule="auto"/>
            </w:pPr>
            <w:r>
              <w:rPr>
                <w:b/>
                <w:sz w:val="20"/>
              </w:rPr>
              <w:t>Paper</w:t>
            </w:r>
          </w:p>
        </w:tc>
        <w:tc>
          <w:tcPr>
            <w:tcW w:w="2340" w:type="dxa"/>
            <w:vAlign w:val="center"/>
          </w:tcPr>
          <w:p w14:paraId="35E9DA7E" w14:textId="77777777" w:rsidR="0065088E" w:rsidRDefault="00207BA5">
            <w:pPr>
              <w:spacing w:before="60" w:after="60" w:line="240" w:lineRule="auto"/>
            </w:pPr>
            <w:r>
              <w:rPr>
                <w:b/>
                <w:sz w:val="20"/>
              </w:rPr>
              <w:t>Primary Purpose</w:t>
            </w:r>
          </w:p>
        </w:tc>
        <w:tc>
          <w:tcPr>
            <w:tcW w:w="2340" w:type="dxa"/>
            <w:vAlign w:val="center"/>
          </w:tcPr>
          <w:p w14:paraId="676FDA81" w14:textId="77777777" w:rsidR="0065088E" w:rsidRDefault="00207BA5">
            <w:pPr>
              <w:spacing w:before="60" w:after="60" w:line="240" w:lineRule="auto"/>
            </w:pPr>
            <w:r>
              <w:rPr>
                <w:b/>
                <w:sz w:val="20"/>
              </w:rPr>
              <w:t>Current Status</w:t>
            </w:r>
          </w:p>
        </w:tc>
        <w:tc>
          <w:tcPr>
            <w:tcW w:w="2340" w:type="dxa"/>
            <w:vAlign w:val="center"/>
          </w:tcPr>
          <w:p w14:paraId="491E72AF" w14:textId="77777777" w:rsidR="0065088E" w:rsidRDefault="00207BA5">
            <w:pPr>
              <w:spacing w:before="60" w:after="60" w:line="240" w:lineRule="auto"/>
            </w:pPr>
            <w:r>
              <w:rPr>
                <w:b/>
                <w:sz w:val="20"/>
              </w:rPr>
              <w:t>Publication/Project Role</w:t>
            </w:r>
          </w:p>
        </w:tc>
      </w:tr>
      <w:tr w:rsidR="0065088E" w14:paraId="0F54DEE6" w14:textId="77777777">
        <w:trPr>
          <w:jc w:val="center"/>
        </w:trPr>
        <w:tc>
          <w:tcPr>
            <w:tcW w:w="2340" w:type="dxa"/>
            <w:vAlign w:val="center"/>
          </w:tcPr>
          <w:p w14:paraId="3862A3F6" w14:textId="77777777" w:rsidR="0065088E" w:rsidRDefault="00207BA5">
            <w:pPr>
              <w:spacing w:before="60" w:after="60" w:line="240" w:lineRule="auto"/>
            </w:pPr>
            <w:r>
              <w:rPr>
                <w:sz w:val="20"/>
              </w:rPr>
              <w:t>Paper 1 - Needs Assessment</w:t>
            </w:r>
          </w:p>
        </w:tc>
        <w:tc>
          <w:tcPr>
            <w:tcW w:w="2340" w:type="dxa"/>
            <w:vAlign w:val="center"/>
          </w:tcPr>
          <w:p w14:paraId="3B38EFC8" w14:textId="77777777" w:rsidR="0065088E" w:rsidRDefault="00207BA5">
            <w:pPr>
              <w:spacing w:before="60" w:after="60" w:line="240" w:lineRule="auto"/>
            </w:pPr>
            <w:r>
              <w:rPr>
                <w:sz w:val="20"/>
              </w:rPr>
              <w:t>Synthesize evidence on transition readiness, self-advocacy, disclosure, navigation, and access needs for students with nonapparent disabilities moving into postsecondary education.</w:t>
            </w:r>
          </w:p>
        </w:tc>
        <w:tc>
          <w:tcPr>
            <w:tcW w:w="2340" w:type="dxa"/>
            <w:vAlign w:val="center"/>
          </w:tcPr>
          <w:p w14:paraId="12539637" w14:textId="77777777" w:rsidR="0065088E" w:rsidRDefault="00207BA5">
            <w:pPr>
              <w:spacing w:before="60" w:after="60" w:line="240" w:lineRule="auto"/>
            </w:pPr>
            <w:r>
              <w:rPr>
                <w:sz w:val="20"/>
              </w:rPr>
              <w:t>Drafted; refinement and citation audit underway.</w:t>
            </w:r>
          </w:p>
        </w:tc>
        <w:tc>
          <w:tcPr>
            <w:tcW w:w="2340" w:type="dxa"/>
            <w:vAlign w:val="center"/>
          </w:tcPr>
          <w:p w14:paraId="2BB66531" w14:textId="77777777" w:rsidR="0065088E" w:rsidRDefault="00207BA5">
            <w:pPr>
              <w:spacing w:before="60" w:after="60" w:line="240" w:lineRule="auto"/>
            </w:pPr>
            <w:r>
              <w:rPr>
                <w:sz w:val="20"/>
              </w:rPr>
              <w:t>Establishes the problem and the student/system needs before selecting a solution.</w:t>
            </w:r>
          </w:p>
        </w:tc>
      </w:tr>
      <w:tr w:rsidR="0065088E" w14:paraId="70E12582" w14:textId="77777777">
        <w:trPr>
          <w:jc w:val="center"/>
        </w:trPr>
        <w:tc>
          <w:tcPr>
            <w:tcW w:w="2340" w:type="dxa"/>
            <w:vAlign w:val="center"/>
          </w:tcPr>
          <w:p w14:paraId="45F7C5B7" w14:textId="77777777" w:rsidR="0065088E" w:rsidRDefault="00207BA5">
            <w:pPr>
              <w:spacing w:before="60" w:after="60" w:line="240" w:lineRule="auto"/>
            </w:pPr>
            <w:r>
              <w:rPr>
                <w:sz w:val="20"/>
              </w:rPr>
              <w:t>Paper 2 - Resource and Gap Analysis</w:t>
            </w:r>
          </w:p>
        </w:tc>
        <w:tc>
          <w:tcPr>
            <w:tcW w:w="2340" w:type="dxa"/>
            <w:vAlign w:val="center"/>
          </w:tcPr>
          <w:p w14:paraId="4D68E51B" w14:textId="77777777" w:rsidR="0065088E" w:rsidRDefault="00207BA5">
            <w:pPr>
              <w:spacing w:before="60" w:after="60" w:line="240" w:lineRule="auto"/>
            </w:pPr>
            <w:r>
              <w:rPr>
                <w:sz w:val="20"/>
              </w:rPr>
              <w:t>Map governmental, institutional, nonprofit, disability-services, assistive-technology, Universal Design, and digital resources; identify residual gaps in navigation, translation to action, implementation, continuity, and student control.</w:t>
            </w:r>
          </w:p>
        </w:tc>
        <w:tc>
          <w:tcPr>
            <w:tcW w:w="2340" w:type="dxa"/>
            <w:vAlign w:val="center"/>
          </w:tcPr>
          <w:p w14:paraId="4C2A1EAA" w14:textId="77777777" w:rsidR="0065088E" w:rsidRDefault="00207BA5">
            <w:pPr>
              <w:spacing w:before="60" w:after="60" w:line="240" w:lineRule="auto"/>
            </w:pPr>
            <w:r>
              <w:rPr>
                <w:sz w:val="20"/>
              </w:rPr>
              <w:t>Drafted; CUNY higher-education evidence is being integrated.</w:t>
            </w:r>
          </w:p>
        </w:tc>
        <w:tc>
          <w:tcPr>
            <w:tcW w:w="2340" w:type="dxa"/>
            <w:vAlign w:val="center"/>
          </w:tcPr>
          <w:p w14:paraId="06E74224" w14:textId="77777777" w:rsidR="0065088E" w:rsidRDefault="00207BA5">
            <w:pPr>
              <w:spacing w:before="60" w:after="60" w:line="240" w:lineRule="auto"/>
            </w:pPr>
            <w:r>
              <w:rPr>
                <w:sz w:val="20"/>
              </w:rPr>
              <w:t>Determines whether a new response is justified and avoids duplicating existing services.</w:t>
            </w:r>
          </w:p>
        </w:tc>
      </w:tr>
      <w:tr w:rsidR="0065088E" w14:paraId="623AD9FF" w14:textId="77777777">
        <w:trPr>
          <w:jc w:val="center"/>
        </w:trPr>
        <w:tc>
          <w:tcPr>
            <w:tcW w:w="2340" w:type="dxa"/>
            <w:vAlign w:val="center"/>
          </w:tcPr>
          <w:p w14:paraId="0868E28B" w14:textId="77777777" w:rsidR="0065088E" w:rsidRDefault="00207BA5">
            <w:pPr>
              <w:spacing w:before="60" w:after="60" w:line="240" w:lineRule="auto"/>
            </w:pPr>
            <w:r>
              <w:rPr>
                <w:sz w:val="20"/>
              </w:rPr>
              <w:t>Paper 3 - Applied Bridge Response</w:t>
            </w:r>
          </w:p>
        </w:tc>
        <w:tc>
          <w:tcPr>
            <w:tcW w:w="2340" w:type="dxa"/>
            <w:vAlign w:val="center"/>
          </w:tcPr>
          <w:p w14:paraId="3AC79AC8" w14:textId="77777777" w:rsidR="0065088E" w:rsidRDefault="00207BA5">
            <w:pPr>
              <w:spacing w:before="60" w:after="60" w:line="240" w:lineRule="auto"/>
            </w:pPr>
            <w:r>
              <w:rPr>
                <w:sz w:val="20"/>
              </w:rPr>
              <w:t>Translate the needs and verified gaps into an evidence-informed bridge framework and a bounded web/app prototype, including implementation, accessibility, privacy, human oversight, and nonprofit/community roles.</w:t>
            </w:r>
          </w:p>
        </w:tc>
        <w:tc>
          <w:tcPr>
            <w:tcW w:w="2340" w:type="dxa"/>
            <w:vAlign w:val="center"/>
          </w:tcPr>
          <w:p w14:paraId="1689AB8C" w14:textId="77777777" w:rsidR="0065088E" w:rsidRDefault="00207BA5">
            <w:pPr>
              <w:spacing w:before="60" w:after="60" w:line="240" w:lineRule="auto"/>
            </w:pPr>
            <w:r>
              <w:rPr>
                <w:sz w:val="20"/>
              </w:rPr>
              <w:t>To be developed in Fall 2026 from Papers 1 and 2.</w:t>
            </w:r>
          </w:p>
        </w:tc>
        <w:tc>
          <w:tcPr>
            <w:tcW w:w="2340" w:type="dxa"/>
            <w:vAlign w:val="center"/>
          </w:tcPr>
          <w:p w14:paraId="3A86D8E0" w14:textId="77777777" w:rsidR="0065088E" w:rsidRDefault="00207BA5">
            <w:pPr>
              <w:spacing w:before="60" w:after="60" w:line="240" w:lineRule="auto"/>
            </w:pPr>
            <w:r>
              <w:rPr>
                <w:sz w:val="20"/>
              </w:rPr>
              <w:t>Creates the applied solution and prepares a third publication-oriented manuscript.</w:t>
            </w:r>
          </w:p>
        </w:tc>
      </w:tr>
    </w:tbl>
    <w:p w14:paraId="06C9F690" w14:textId="77777777" w:rsidR="0065088E" w:rsidRDefault="00207BA5">
      <w:r>
        <w:lastRenderedPageBreak/>
        <w:t>The three manuscripts are conceptually connected but will be written so that each can stand alone. Final journal selection, manuscript length, formatting, authorship, and submission decisions will be made with faculty guidance and the requirements of the target journals. The non-thesis project does not claim that publication acceptance is guaranteed; the goal is to produce publication-ready or near-publication-ready manuscripts that can be refined for peer review.</w:t>
      </w:r>
    </w:p>
    <w:p w14:paraId="0D04AD82" w14:textId="77777777" w:rsidR="0065088E" w:rsidRDefault="00207BA5">
      <w:pPr>
        <w:pStyle w:val="Heading1"/>
      </w:pPr>
      <w:r>
        <w:t>5. Literature Review Framework</w:t>
      </w:r>
    </w:p>
    <w:p w14:paraId="07811ABD" w14:textId="77777777" w:rsidR="0065088E" w:rsidRDefault="00207BA5">
      <w:r>
        <w:t>The literature review will integrate the evidence streams developed in Papers 1 and 2 rather than maintain a separate, disconnected review. The synthesis will be organized around the transition continuum: (a) secondary preparation and increasing student participation; (b) the legal, procedural, and relational handoff from secondary to postsecondary education; (c) disclosure, self-advocacy, disability-services navigation, and accommodation implementation in higher education; (d) Universal Design and assistiv</w:t>
      </w:r>
      <w:r>
        <w:t>e technology; (e) faculty and institutional capacity; and (f) bounded digital and AI-supported access functions.</w:t>
      </w:r>
    </w:p>
    <w:p w14:paraId="5CEE8E48" w14:textId="77777777" w:rsidR="00207BA5" w:rsidRDefault="00207BA5" w:rsidP="002E690F">
      <w:r>
        <w:t xml:space="preserve">The review will distinguish direct transition evidence from postsecondary-only evidence, empirical findings from professional guidance, and authoritative legal or regulatory sources from scholarly interpretation. Recent peer-reviewed research will be prioritized. Older work will be retained when it is seminal, theoretically necessary, historically necessary, or still authoritative. </w:t>
      </w:r>
      <w:r w:rsidR="007A297D" w:rsidRPr="007A297D">
        <w:t>Before final submission, each in-text citation and reference entry</w:t>
      </w:r>
      <w:r>
        <w:t xml:space="preserve"> will be </w:t>
      </w:r>
      <w:r w:rsidR="007A297D" w:rsidRPr="007A297D">
        <w:t>checked</w:t>
      </w:r>
      <w:r>
        <w:t xml:space="preserve"> against the article, publisher</w:t>
      </w:r>
      <w:r w:rsidR="007A297D" w:rsidRPr="007A297D">
        <w:t xml:space="preserve"> record, </w:t>
      </w:r>
      <w:r>
        <w:t xml:space="preserve">DOI record, ERIC, PubMed, Crossref, or another authoritative source </w:t>
      </w:r>
      <w:r w:rsidR="007A297D" w:rsidRPr="007A297D">
        <w:t>for APA 7 accuracy and source availability</w:t>
      </w:r>
      <w:r>
        <w:t>.</w:t>
      </w:r>
    </w:p>
    <w:p w14:paraId="3186A68B" w14:textId="77777777" w:rsidR="00207BA5" w:rsidRDefault="008007E2" w:rsidP="008007E2">
      <w:pPr>
        <w:pStyle w:val="Heading1"/>
      </w:pPr>
      <w:r w:rsidRPr="008007E2">
        <w:lastRenderedPageBreak/>
        <w:t>6. Methods and Project Approach</w:t>
      </w:r>
    </w:p>
    <w:p w14:paraId="58CA95B1" w14:textId="77777777" w:rsidR="0065088E" w:rsidRDefault="00207BA5">
      <w:pPr>
        <w:pStyle w:val="Heading2"/>
      </w:pPr>
      <w:r>
        <w:t>Research Design</w:t>
      </w:r>
    </w:p>
    <w:p w14:paraId="6EDD943E" w14:textId="77777777" w:rsidR="0065088E" w:rsidRDefault="00207BA5">
      <w:r>
        <w:t>The project will use a structured evidence-synthesis, resource-mapping, gap-analysis, and applied-design approach. It is not an experimental study and, under the present proposal, will not recruit human participants. The project will first identify evidence-supported needs, then map existing resources and processes, then identify gaps, and only then select and design an applied response. This sequence is intended to prevent the project from beginning with a predetermined application or nonprofit program and</w:t>
      </w:r>
      <w:r>
        <w:t xml:space="preserve"> searching for evidence to justify it.</w:t>
      </w:r>
    </w:p>
    <w:p w14:paraId="458D12C6" w14:textId="77777777" w:rsidR="0065088E" w:rsidRDefault="00207BA5">
      <w:pPr>
        <w:pStyle w:val="Heading2"/>
      </w:pPr>
      <w:r>
        <w:t>Scope and Population</w:t>
      </w:r>
    </w:p>
    <w:p w14:paraId="50160055" w14:textId="77777777" w:rsidR="0065088E" w:rsidRDefault="00207BA5">
      <w:r>
        <w:t>The primary population is adolescents and young adults with invisible or nonapparent disabilities preparing for or entering postsecondary education. The central educational boundary is later secondary education through the transition and into early postsecondary access. Postsecondary studies may be retained when they directly inform transition, disclosure, self-advocacy, accommodation navigation, disability-services processes, faculty implementation, Universal Design, assistive technology, or related access</w:t>
      </w:r>
      <w:r>
        <w:t xml:space="preserve"> needs. Broader K-12 content may remain part of the IPC public ecosystem but is outside the core UF research question unless needed to explain transition preparation.</w:t>
      </w:r>
    </w:p>
    <w:p w14:paraId="7717A4E0" w14:textId="77777777" w:rsidR="0065088E" w:rsidRDefault="00207BA5">
      <w:pPr>
        <w:pStyle w:val="Heading2"/>
      </w:pPr>
      <w:r>
        <w:t>Research Questions</w:t>
      </w:r>
    </w:p>
    <w:p w14:paraId="611D2A12" w14:textId="77777777" w:rsidR="0065088E" w:rsidRDefault="00207BA5">
      <w:r>
        <w:t>RQ1 - Need: What accommodation, accessibility, navigation, self-advocacy, and support-continuity needs are identified in existing evidence concerning students with invisible or nonapparent disabilities transitioning from secondary to postsecondary education?</w:t>
      </w:r>
    </w:p>
    <w:p w14:paraId="36E3E8C1" w14:textId="77777777" w:rsidR="0065088E" w:rsidRDefault="00207BA5">
      <w:r>
        <w:lastRenderedPageBreak/>
        <w:t>RQ2 - Gap: What gaps remain between those identified needs and currently available educational, institutional, community, disability-services, assistive-technology, and digital resources?</w:t>
      </w:r>
    </w:p>
    <w:p w14:paraId="60650363" w14:textId="77777777" w:rsidR="0065088E" w:rsidRDefault="00207BA5">
      <w:r>
        <w:t>RQ3 - Applied Response: Based on the needs and verified gaps, what student-centered bridge functions should an accessible web-based hub or application include, and what roles should Universal Design, human support, technology, and carefully bounded AI play?</w:t>
      </w:r>
    </w:p>
    <w:p w14:paraId="1E3FCD8D" w14:textId="77777777" w:rsidR="0065088E" w:rsidRDefault="00207BA5">
      <w:pPr>
        <w:pStyle w:val="Heading2"/>
      </w:pPr>
      <w:r>
        <w:t>Evidence Search and Source Verification</w:t>
      </w:r>
    </w:p>
    <w:p w14:paraId="10BD52DF" w14:textId="77777777" w:rsidR="0065088E" w:rsidRDefault="00207BA5">
      <w:r>
        <w:t>Searches will draw on ERIC, PsycINFO, PubMed/MEDLINE, Scopus, Web of Science, and publisher or DOI records as available through the University of Florida. Google Scholar may be used for discovery and citation chaining but will not substitute for source verification. Government and standards sources will be searched separately for legal, regulatory, and accessibility guidance. A source matrix will record citation information, population, design, findings, limitations, evidence category, relevance to the rese</w:t>
      </w:r>
      <w:r>
        <w:t>arch questions, and implications for the applied design.</w:t>
      </w:r>
    </w:p>
    <w:p w14:paraId="4A20F4C7" w14:textId="77777777" w:rsidR="0065088E" w:rsidRDefault="00207BA5">
      <w:r>
        <w:t>The working publication window for peer-reviewed evidence is 2021 through the final search date, with older sources retained only when justified. This project will continue to use relevant scholarship developed through CUNY SPS DSAB 629 when it directly strengthens the postsecondary side of the bridge, including evidence on transition, disability services, accommodations, assistive technology, faculty development, campus climate, Universal Design, disability identity, and ableism. Course material will not b</w:t>
      </w:r>
      <w:r>
        <w:t>e treated as evidence merely because it was assigned; the underlying source must meet the evidence requirements of the UF project.</w:t>
      </w:r>
    </w:p>
    <w:p w14:paraId="6D5B3FDF" w14:textId="77777777" w:rsidR="0065088E" w:rsidRDefault="00207BA5">
      <w:pPr>
        <w:pStyle w:val="Heading2"/>
      </w:pPr>
      <w:r>
        <w:lastRenderedPageBreak/>
        <w:t>Gap Analysis and Priority Setting</w:t>
      </w:r>
    </w:p>
    <w:p w14:paraId="60AE3616" w14:textId="77777777" w:rsidR="0065088E" w:rsidRDefault="00207BA5">
      <w:r>
        <w:t>Paper 2 will compare the needs matrix with the resource map. Candidate gaps include fragmented navigation, difficult translation from general guidance to a specific next action, discontinuity between secondary and postsecondary systems, inaccessible or cognitively demanding information, implementation and follow-up burden, affordability or technology-access barriers, privacy or transparency concerns, and insufficient student control. A gap will be carried into Paper 3 only when the evidence indicates that i</w:t>
      </w:r>
      <w:r>
        <w:t>t is meaningful, distinct from existing services, feasible to address, and appropriate for a non-thesis applied response.</w:t>
      </w:r>
    </w:p>
    <w:p w14:paraId="165DCF5F" w14:textId="77777777" w:rsidR="0065088E" w:rsidRDefault="00207BA5">
      <w:pPr>
        <w:pStyle w:val="Heading1"/>
      </w:pPr>
      <w:r>
        <w:t>7. Applied Product: Student-Centered Access and Transition Hub</w:t>
      </w:r>
    </w:p>
    <w:p w14:paraId="27E94023" w14:textId="77777777" w:rsidR="0065088E" w:rsidRDefault="00207BA5">
      <w:r>
        <w:t>The applied product will be a drafted, source-grounded web-based hub or application prototype derived from the findings of Papers 1 and 2. The prototype will demonstrate how a student could move through three connected zones: Prepare, Bridge, and Navigate. It will not be presented as evidence that the tool improves outcomes; rather, it will demonstrate how the research can be translated into an accessible practical resource.</w:t>
      </w:r>
    </w:p>
    <w:tbl>
      <w:tblPr>
        <w:tblStyle w:val="TableGrid"/>
        <w:tblW w:w="0" w:type="auto"/>
        <w:jc w:val="center"/>
        <w:tblLook w:val="04A0" w:firstRow="1" w:lastRow="0" w:firstColumn="1" w:lastColumn="0" w:noHBand="0" w:noVBand="1"/>
      </w:tblPr>
      <w:tblGrid>
        <w:gridCol w:w="3117"/>
        <w:gridCol w:w="3116"/>
        <w:gridCol w:w="3117"/>
      </w:tblGrid>
      <w:tr w:rsidR="0065088E" w14:paraId="2B44ECCA" w14:textId="77777777">
        <w:trPr>
          <w:jc w:val="center"/>
        </w:trPr>
        <w:tc>
          <w:tcPr>
            <w:tcW w:w="3120" w:type="dxa"/>
            <w:vAlign w:val="center"/>
          </w:tcPr>
          <w:p w14:paraId="3A4E4346" w14:textId="77777777" w:rsidR="0065088E" w:rsidRDefault="00207BA5">
            <w:pPr>
              <w:spacing w:before="60" w:after="60" w:line="240" w:lineRule="auto"/>
            </w:pPr>
            <w:r>
              <w:rPr>
                <w:b/>
                <w:sz w:val="20"/>
              </w:rPr>
              <w:t>Zone</w:t>
            </w:r>
          </w:p>
        </w:tc>
        <w:tc>
          <w:tcPr>
            <w:tcW w:w="3120" w:type="dxa"/>
            <w:vAlign w:val="center"/>
          </w:tcPr>
          <w:p w14:paraId="6777B5FC" w14:textId="77777777" w:rsidR="0065088E" w:rsidRDefault="00207BA5">
            <w:pPr>
              <w:spacing w:before="60" w:after="60" w:line="240" w:lineRule="auto"/>
            </w:pPr>
            <w:r>
              <w:rPr>
                <w:b/>
                <w:sz w:val="20"/>
              </w:rPr>
              <w:t>Purpose</w:t>
            </w:r>
          </w:p>
        </w:tc>
        <w:tc>
          <w:tcPr>
            <w:tcW w:w="3120" w:type="dxa"/>
            <w:vAlign w:val="center"/>
          </w:tcPr>
          <w:p w14:paraId="768D716A" w14:textId="77777777" w:rsidR="0065088E" w:rsidRDefault="00207BA5">
            <w:pPr>
              <w:spacing w:before="60" w:after="60" w:line="240" w:lineRule="auto"/>
            </w:pPr>
            <w:r>
              <w:rPr>
                <w:b/>
                <w:sz w:val="20"/>
              </w:rPr>
              <w:t>Illustrative Functions</w:t>
            </w:r>
          </w:p>
        </w:tc>
      </w:tr>
      <w:tr w:rsidR="0065088E" w14:paraId="0F4D6CE5" w14:textId="77777777">
        <w:trPr>
          <w:jc w:val="center"/>
        </w:trPr>
        <w:tc>
          <w:tcPr>
            <w:tcW w:w="3120" w:type="dxa"/>
            <w:vAlign w:val="center"/>
          </w:tcPr>
          <w:p w14:paraId="0E3CCFD6" w14:textId="77777777" w:rsidR="0065088E" w:rsidRDefault="00207BA5">
            <w:pPr>
              <w:spacing w:before="60" w:after="60" w:line="240" w:lineRule="auto"/>
            </w:pPr>
            <w:r>
              <w:rPr>
                <w:sz w:val="20"/>
              </w:rPr>
              <w:t>Prepare - Secondary Education</w:t>
            </w:r>
          </w:p>
        </w:tc>
        <w:tc>
          <w:tcPr>
            <w:tcW w:w="3120" w:type="dxa"/>
            <w:vAlign w:val="center"/>
          </w:tcPr>
          <w:p w14:paraId="4DFDFF09" w14:textId="77777777" w:rsidR="0065088E" w:rsidRDefault="00207BA5">
            <w:pPr>
              <w:spacing w:before="60" w:after="60" w:line="240" w:lineRule="auto"/>
            </w:pPr>
            <w:r>
              <w:rPr>
                <w:sz w:val="20"/>
              </w:rPr>
              <w:t>Build self-knowledge and supported self-advocacy before the procedural shift to college.</w:t>
            </w:r>
          </w:p>
        </w:tc>
        <w:tc>
          <w:tcPr>
            <w:tcW w:w="3120" w:type="dxa"/>
            <w:vAlign w:val="center"/>
          </w:tcPr>
          <w:p w14:paraId="242DE240" w14:textId="77777777" w:rsidR="0065088E" w:rsidRDefault="00207BA5">
            <w:pPr>
              <w:spacing w:before="60" w:after="60" w:line="240" w:lineRule="auto"/>
            </w:pPr>
            <w:r>
              <w:rPr>
                <w:sz w:val="20"/>
              </w:rPr>
              <w:t>Strengths and barriers profile; current supports; what works/does not work; student voice; assistive-technology experience; transition checklist; questions for prospective colleges.</w:t>
            </w:r>
          </w:p>
        </w:tc>
      </w:tr>
      <w:tr w:rsidR="0065088E" w14:paraId="78C613C4" w14:textId="77777777">
        <w:trPr>
          <w:jc w:val="center"/>
        </w:trPr>
        <w:tc>
          <w:tcPr>
            <w:tcW w:w="3120" w:type="dxa"/>
            <w:vAlign w:val="center"/>
          </w:tcPr>
          <w:p w14:paraId="28575726" w14:textId="77777777" w:rsidR="0065088E" w:rsidRDefault="00207BA5">
            <w:pPr>
              <w:spacing w:before="60" w:after="60" w:line="240" w:lineRule="auto"/>
            </w:pPr>
            <w:r>
              <w:rPr>
                <w:sz w:val="20"/>
              </w:rPr>
              <w:t>Bridge - Transition/Handoff</w:t>
            </w:r>
          </w:p>
        </w:tc>
        <w:tc>
          <w:tcPr>
            <w:tcW w:w="3120" w:type="dxa"/>
            <w:vAlign w:val="center"/>
          </w:tcPr>
          <w:p w14:paraId="39B70AFF" w14:textId="77777777" w:rsidR="0065088E" w:rsidRDefault="00207BA5">
            <w:pPr>
              <w:spacing w:before="60" w:after="60" w:line="240" w:lineRule="auto"/>
            </w:pPr>
            <w:r>
              <w:rPr>
                <w:sz w:val="20"/>
              </w:rPr>
              <w:t>Explain what changes across educational systems and help the student prepare for the new access process.</w:t>
            </w:r>
          </w:p>
        </w:tc>
        <w:tc>
          <w:tcPr>
            <w:tcW w:w="3120" w:type="dxa"/>
            <w:vAlign w:val="center"/>
          </w:tcPr>
          <w:p w14:paraId="3E2DA956" w14:textId="77777777" w:rsidR="0065088E" w:rsidRDefault="00207BA5">
            <w:pPr>
              <w:spacing w:before="60" w:after="60" w:line="240" w:lineRule="auto"/>
            </w:pPr>
            <w:r>
              <w:rPr>
                <w:sz w:val="20"/>
              </w:rPr>
              <w:t>IDEA/IEP versus postsecondary Section 504/ADA overview; documentation and disclosure preparation; disability-services registration steps; resource locator; access summary controlled by the student.</w:t>
            </w:r>
          </w:p>
        </w:tc>
      </w:tr>
      <w:tr w:rsidR="0065088E" w14:paraId="33324F42" w14:textId="77777777">
        <w:trPr>
          <w:jc w:val="center"/>
        </w:trPr>
        <w:tc>
          <w:tcPr>
            <w:tcW w:w="3120" w:type="dxa"/>
            <w:vAlign w:val="center"/>
          </w:tcPr>
          <w:p w14:paraId="61F14A00" w14:textId="77777777" w:rsidR="0065088E" w:rsidRDefault="00207BA5">
            <w:pPr>
              <w:spacing w:before="60" w:after="60" w:line="240" w:lineRule="auto"/>
            </w:pPr>
            <w:r>
              <w:rPr>
                <w:sz w:val="20"/>
              </w:rPr>
              <w:t>Navigate - Postsecondary Education</w:t>
            </w:r>
          </w:p>
        </w:tc>
        <w:tc>
          <w:tcPr>
            <w:tcW w:w="3120" w:type="dxa"/>
            <w:vAlign w:val="center"/>
          </w:tcPr>
          <w:p w14:paraId="00B0CF53" w14:textId="77777777" w:rsidR="0065088E" w:rsidRDefault="00207BA5">
            <w:pPr>
              <w:spacing w:before="60" w:after="60" w:line="240" w:lineRule="auto"/>
            </w:pPr>
            <w:r>
              <w:rPr>
                <w:sz w:val="20"/>
              </w:rPr>
              <w:t>Support ongoing use, implementation, and review of access after enrollment.</w:t>
            </w:r>
          </w:p>
        </w:tc>
        <w:tc>
          <w:tcPr>
            <w:tcW w:w="3120" w:type="dxa"/>
            <w:vAlign w:val="center"/>
          </w:tcPr>
          <w:p w14:paraId="1A0E5728" w14:textId="77777777" w:rsidR="0065088E" w:rsidRDefault="00207BA5">
            <w:pPr>
              <w:spacing w:before="60" w:after="60" w:line="240" w:lineRule="auto"/>
            </w:pPr>
            <w:r>
              <w:rPr>
                <w:sz w:val="20"/>
              </w:rPr>
              <w:t xml:space="preserve">Accommodation activation/renewal reminders; faculty communication preparation; course-specific implementation notes; </w:t>
            </w:r>
            <w:r>
              <w:rPr>
                <w:sz w:val="20"/>
              </w:rPr>
              <w:lastRenderedPageBreak/>
              <w:t>barrier/support review; escalation preparation; verified institutional resources; bounded AI assistance.</w:t>
            </w:r>
          </w:p>
        </w:tc>
      </w:tr>
    </w:tbl>
    <w:p w14:paraId="2C175F06" w14:textId="77777777" w:rsidR="0065088E" w:rsidRDefault="00207BA5">
      <w:pPr>
        <w:pStyle w:val="Heading2"/>
      </w:pPr>
      <w:r>
        <w:lastRenderedPageBreak/>
        <w:t>Accessibility, Privacy, and AI Boundaries</w:t>
      </w:r>
    </w:p>
    <w:p w14:paraId="17A52251" w14:textId="77777777" w:rsidR="0065088E" w:rsidRDefault="00207BA5">
      <w:r>
        <w:t>The prototype will use clear headings, manageable information chunks, keyboard-accessible interaction, readable contrast, print-friendly output, speech-compatible entry where feasible, and user control over what is saved or exported. It will minimize data collection and will instruct users not to enter sensitive records in the demonstration environment. AI-generated wording or suggestions will remain editable and clearly labeled. The student will retain control over whether a suggestion is kept, changed, or</w:t>
      </w:r>
      <w:r>
        <w:t xml:space="preserve"> removed.</w:t>
      </w:r>
    </w:p>
    <w:p w14:paraId="352230F1" w14:textId="77777777" w:rsidR="0065088E" w:rsidRDefault="00207BA5">
      <w:r>
        <w:t>The prototype will not diagnose disability, determine eligibility, select a legally required accommodation, provide legal or medical advice, replace an IEP/Section 504 team or college disability-services office, send communications automatically, connect to student-information systems, or claim effectiveness. Any future deployment involving accounts, identifiable records, analytics, participant testing, or institutional integration would require separate privacy, security, accessibility, legal, and institut</w:t>
      </w:r>
      <w:r>
        <w:t>ional review.</w:t>
      </w:r>
    </w:p>
    <w:p w14:paraId="7BBC4F86" w14:textId="77777777" w:rsidR="0065088E" w:rsidRDefault="00207BA5">
      <w:pPr>
        <w:pStyle w:val="Heading1"/>
      </w:pPr>
      <w:r>
        <w:t>8. Resources and Stakeholders</w:t>
      </w:r>
    </w:p>
    <w:tbl>
      <w:tblPr>
        <w:tblStyle w:val="TableGrid"/>
        <w:tblW w:w="0" w:type="auto"/>
        <w:jc w:val="center"/>
        <w:tblLook w:val="04A0" w:firstRow="1" w:lastRow="0" w:firstColumn="1" w:lastColumn="0" w:noHBand="0" w:noVBand="1"/>
      </w:tblPr>
      <w:tblGrid>
        <w:gridCol w:w="4675"/>
        <w:gridCol w:w="4675"/>
      </w:tblGrid>
      <w:tr w:rsidR="0065088E" w14:paraId="7E9D07E8" w14:textId="77777777">
        <w:trPr>
          <w:jc w:val="center"/>
        </w:trPr>
        <w:tc>
          <w:tcPr>
            <w:tcW w:w="4680" w:type="dxa"/>
            <w:vAlign w:val="center"/>
          </w:tcPr>
          <w:p w14:paraId="0243B232" w14:textId="77777777" w:rsidR="0065088E" w:rsidRDefault="00207BA5">
            <w:pPr>
              <w:spacing w:before="60" w:after="60" w:line="240" w:lineRule="auto"/>
            </w:pPr>
            <w:r>
              <w:rPr>
                <w:b/>
                <w:sz w:val="20"/>
              </w:rPr>
              <w:t>Resource or Perspective</w:t>
            </w:r>
          </w:p>
        </w:tc>
        <w:tc>
          <w:tcPr>
            <w:tcW w:w="4680" w:type="dxa"/>
            <w:vAlign w:val="center"/>
          </w:tcPr>
          <w:p w14:paraId="7A17D03F" w14:textId="77777777" w:rsidR="0065088E" w:rsidRDefault="00207BA5">
            <w:pPr>
              <w:spacing w:before="60" w:after="60" w:line="240" w:lineRule="auto"/>
            </w:pPr>
            <w:r>
              <w:rPr>
                <w:b/>
                <w:sz w:val="20"/>
              </w:rPr>
              <w:t>Relationship to the Project</w:t>
            </w:r>
          </w:p>
        </w:tc>
      </w:tr>
      <w:tr w:rsidR="0065088E" w14:paraId="4AE801B2" w14:textId="77777777">
        <w:trPr>
          <w:jc w:val="center"/>
        </w:trPr>
        <w:tc>
          <w:tcPr>
            <w:tcW w:w="4680" w:type="dxa"/>
            <w:vAlign w:val="center"/>
          </w:tcPr>
          <w:p w14:paraId="69454C56" w14:textId="77777777" w:rsidR="0065088E" w:rsidRDefault="00207BA5">
            <w:pPr>
              <w:spacing w:before="60" w:after="60" w:line="240" w:lineRule="auto"/>
            </w:pPr>
            <w:r>
              <w:rPr>
                <w:sz w:val="20"/>
              </w:rPr>
              <w:t>Dr. Dale Pracht, Committee Chair</w:t>
            </w:r>
          </w:p>
        </w:tc>
        <w:tc>
          <w:tcPr>
            <w:tcW w:w="4680" w:type="dxa"/>
            <w:vAlign w:val="center"/>
          </w:tcPr>
          <w:p w14:paraId="228E5F3A" w14:textId="77777777" w:rsidR="0065088E" w:rsidRDefault="00207BA5">
            <w:pPr>
              <w:spacing w:before="60" w:after="60" w:line="240" w:lineRule="auto"/>
            </w:pPr>
            <w:r>
              <w:rPr>
                <w:sz w:val="20"/>
              </w:rPr>
              <w:t>Provides academic oversight, approves scope, reviews proposal and project development, and chairs the proposal and final project defenses.</w:t>
            </w:r>
          </w:p>
        </w:tc>
      </w:tr>
      <w:tr w:rsidR="0065088E" w14:paraId="61077819" w14:textId="77777777">
        <w:trPr>
          <w:jc w:val="center"/>
        </w:trPr>
        <w:tc>
          <w:tcPr>
            <w:tcW w:w="4680" w:type="dxa"/>
            <w:vAlign w:val="center"/>
          </w:tcPr>
          <w:p w14:paraId="4195EA66" w14:textId="77777777" w:rsidR="0065088E" w:rsidRDefault="00207BA5">
            <w:pPr>
              <w:spacing w:before="60" w:after="60" w:line="240" w:lineRule="auto"/>
            </w:pPr>
            <w:r>
              <w:rPr>
                <w:sz w:val="20"/>
              </w:rPr>
              <w:t>Dr. K, Committee Member</w:t>
            </w:r>
          </w:p>
        </w:tc>
        <w:tc>
          <w:tcPr>
            <w:tcW w:w="4680" w:type="dxa"/>
            <w:vAlign w:val="center"/>
          </w:tcPr>
          <w:p w14:paraId="2F4E11A3" w14:textId="77777777" w:rsidR="0065088E" w:rsidRDefault="00207BA5">
            <w:pPr>
              <w:spacing w:before="60" w:after="60" w:line="240" w:lineRule="auto"/>
            </w:pPr>
            <w:r>
              <w:rPr>
                <w:sz w:val="20"/>
              </w:rPr>
              <w:t>Provides subject-matter and strategic guidance, including nonprofit strategy, publication planning, and applied research translation.</w:t>
            </w:r>
          </w:p>
        </w:tc>
      </w:tr>
      <w:tr w:rsidR="0065088E" w14:paraId="0FA05AE7" w14:textId="77777777">
        <w:trPr>
          <w:jc w:val="center"/>
        </w:trPr>
        <w:tc>
          <w:tcPr>
            <w:tcW w:w="4680" w:type="dxa"/>
            <w:vAlign w:val="center"/>
          </w:tcPr>
          <w:p w14:paraId="769747C5" w14:textId="77777777" w:rsidR="0065088E" w:rsidRDefault="00207BA5">
            <w:pPr>
              <w:spacing w:before="60" w:after="60" w:line="240" w:lineRule="auto"/>
            </w:pPr>
            <w:r>
              <w:rPr>
                <w:sz w:val="20"/>
              </w:rPr>
              <w:t>Peer-reviewed research and authoritative guidance</w:t>
            </w:r>
          </w:p>
        </w:tc>
        <w:tc>
          <w:tcPr>
            <w:tcW w:w="4680" w:type="dxa"/>
            <w:vAlign w:val="center"/>
          </w:tcPr>
          <w:p w14:paraId="24A957F7" w14:textId="77777777" w:rsidR="0065088E" w:rsidRDefault="00207BA5">
            <w:pPr>
              <w:spacing w:before="60" w:after="60" w:line="240" w:lineRule="auto"/>
            </w:pPr>
            <w:r>
              <w:rPr>
                <w:sz w:val="20"/>
              </w:rPr>
              <w:t>Ground the needs assessment, resource map, gap analysis, legal/procedural context, and design requirements.</w:t>
            </w:r>
          </w:p>
        </w:tc>
      </w:tr>
      <w:tr w:rsidR="0065088E" w14:paraId="20CB9629" w14:textId="77777777">
        <w:trPr>
          <w:jc w:val="center"/>
        </w:trPr>
        <w:tc>
          <w:tcPr>
            <w:tcW w:w="4680" w:type="dxa"/>
            <w:vAlign w:val="center"/>
          </w:tcPr>
          <w:p w14:paraId="15CBFDED" w14:textId="77777777" w:rsidR="0065088E" w:rsidRDefault="00207BA5">
            <w:pPr>
              <w:spacing w:before="60" w:after="60" w:line="240" w:lineRule="auto"/>
            </w:pPr>
            <w:r>
              <w:rPr>
                <w:sz w:val="20"/>
              </w:rPr>
              <w:t>CUNY SPS DSAB 629 evidence stream</w:t>
            </w:r>
          </w:p>
        </w:tc>
        <w:tc>
          <w:tcPr>
            <w:tcW w:w="4680" w:type="dxa"/>
            <w:vAlign w:val="center"/>
          </w:tcPr>
          <w:p w14:paraId="4DD934CE" w14:textId="77777777" w:rsidR="0065088E" w:rsidRDefault="00207BA5">
            <w:pPr>
              <w:spacing w:before="60" w:after="60" w:line="240" w:lineRule="auto"/>
            </w:pPr>
            <w:r>
              <w:rPr>
                <w:sz w:val="20"/>
              </w:rPr>
              <w:t xml:space="preserve">Adds higher-education scholarship on transition, accommodations, disability services, assistive technology, faculty development, campus climate, </w:t>
            </w:r>
            <w:r>
              <w:rPr>
                <w:sz w:val="20"/>
              </w:rPr>
              <w:lastRenderedPageBreak/>
              <w:t>disability identity, and disability justice when the underlying sources meet UF evidence standards.</w:t>
            </w:r>
          </w:p>
        </w:tc>
      </w:tr>
      <w:tr w:rsidR="0065088E" w14:paraId="2C363157" w14:textId="77777777">
        <w:trPr>
          <w:jc w:val="center"/>
        </w:trPr>
        <w:tc>
          <w:tcPr>
            <w:tcW w:w="4680" w:type="dxa"/>
            <w:vAlign w:val="center"/>
          </w:tcPr>
          <w:p w14:paraId="3D4C55C5" w14:textId="77777777" w:rsidR="0065088E" w:rsidRDefault="00207BA5">
            <w:pPr>
              <w:spacing w:before="60" w:after="60" w:line="240" w:lineRule="auto"/>
            </w:pPr>
            <w:r>
              <w:rPr>
                <w:sz w:val="20"/>
              </w:rPr>
              <w:lastRenderedPageBreak/>
              <w:t>IPC / Bridging the Gap ecosystem</w:t>
            </w:r>
          </w:p>
        </w:tc>
        <w:tc>
          <w:tcPr>
            <w:tcW w:w="4680" w:type="dxa"/>
            <w:vAlign w:val="center"/>
          </w:tcPr>
          <w:p w14:paraId="34834D38" w14:textId="77777777" w:rsidR="0065088E" w:rsidRDefault="00207BA5">
            <w:pPr>
              <w:spacing w:before="60" w:after="60" w:line="240" w:lineRule="auto"/>
            </w:pPr>
            <w:r>
              <w:rPr>
                <w:sz w:val="20"/>
              </w:rPr>
              <w:t>Provides the broader organizational and dissemination context; it is not evidence of effectiveness and is not the UF study itself.</w:t>
            </w:r>
          </w:p>
        </w:tc>
      </w:tr>
      <w:tr w:rsidR="0065088E" w14:paraId="3CD597B4" w14:textId="77777777">
        <w:trPr>
          <w:jc w:val="center"/>
        </w:trPr>
        <w:tc>
          <w:tcPr>
            <w:tcW w:w="4680" w:type="dxa"/>
            <w:vAlign w:val="center"/>
          </w:tcPr>
          <w:p w14:paraId="360FA1D6" w14:textId="77777777" w:rsidR="0065088E" w:rsidRDefault="00207BA5">
            <w:pPr>
              <w:spacing w:before="60" w:after="60" w:line="240" w:lineRule="auto"/>
            </w:pPr>
            <w:r>
              <w:rPr>
                <w:sz w:val="20"/>
              </w:rPr>
              <w:t>Accessibility standards and review tools</w:t>
            </w:r>
          </w:p>
        </w:tc>
        <w:tc>
          <w:tcPr>
            <w:tcW w:w="4680" w:type="dxa"/>
            <w:vAlign w:val="center"/>
          </w:tcPr>
          <w:p w14:paraId="10C0504F" w14:textId="77777777" w:rsidR="0065088E" w:rsidRDefault="00207BA5">
            <w:pPr>
              <w:spacing w:before="60" w:after="60" w:line="240" w:lineRule="auto"/>
            </w:pPr>
            <w:r>
              <w:rPr>
                <w:sz w:val="20"/>
              </w:rPr>
              <w:t>Support design checks for structure, keyboard access, readable presentation, cognitive accessibility, and screen-reader compatibility.</w:t>
            </w:r>
          </w:p>
        </w:tc>
      </w:tr>
      <w:tr w:rsidR="0065088E" w14:paraId="290D0FCA" w14:textId="77777777">
        <w:trPr>
          <w:jc w:val="center"/>
        </w:trPr>
        <w:tc>
          <w:tcPr>
            <w:tcW w:w="4680" w:type="dxa"/>
            <w:vAlign w:val="center"/>
          </w:tcPr>
          <w:p w14:paraId="6929A649" w14:textId="77777777" w:rsidR="0065088E" w:rsidRDefault="00207BA5">
            <w:pPr>
              <w:spacing w:before="60" w:after="60" w:line="240" w:lineRule="auto"/>
            </w:pPr>
            <w:r>
              <w:rPr>
                <w:sz w:val="20"/>
              </w:rPr>
              <w:t>Existing institutional and nonprofit resources</w:t>
            </w:r>
          </w:p>
        </w:tc>
        <w:tc>
          <w:tcPr>
            <w:tcW w:w="4680" w:type="dxa"/>
            <w:vAlign w:val="center"/>
          </w:tcPr>
          <w:p w14:paraId="7DDD2CCF" w14:textId="77777777" w:rsidR="0065088E" w:rsidRDefault="00207BA5">
            <w:pPr>
              <w:spacing w:before="60" w:after="60" w:line="240" w:lineRule="auto"/>
            </w:pPr>
            <w:r>
              <w:rPr>
                <w:sz w:val="20"/>
              </w:rPr>
              <w:t>Are mapped before new functions are proposed so the applied response complements rather than duplicates existing services.</w:t>
            </w:r>
          </w:p>
        </w:tc>
      </w:tr>
    </w:tbl>
    <w:p w14:paraId="75238555" w14:textId="77777777" w:rsidR="0065088E" w:rsidRDefault="00207BA5">
      <w:pPr>
        <w:pStyle w:val="Heading1"/>
      </w:pPr>
      <w:r>
        <w:t>9. Ethical and Academic Boundaries</w:t>
      </w:r>
    </w:p>
    <w:p w14:paraId="6EBEFC9F" w14:textId="77777777" w:rsidR="0065088E" w:rsidRDefault="00207BA5">
      <w:r>
        <w:t>The project will use published literature, public policy and guidance, prior approved coursework, resource maps, design-development notes, accessibility checks, and committee feedback. It will not recruit students, families, faculty, disability-services professionals, or other participants under the present proposal. It will not collect interviews, surveys, observations, grades, IEPs, Section 504 plans, medical records, usage analytics, or identifiable student data. Fictional or non-identifiable examples ma</w:t>
      </w:r>
      <w:r>
        <w:t>y be used to demonstrate the prototype.</w:t>
      </w:r>
    </w:p>
    <w:p w14:paraId="2FEE4B96" w14:textId="77777777" w:rsidR="0065088E" w:rsidRDefault="00207BA5">
      <w:r>
        <w:t>The three manuscripts will remain academically distinct while sharing an overarching research program. Reused ideas, sources, and prior coursework will be documented and substantially reframed for the purpose of each manuscript. Claims will distinguish empirical evidence, authoritative guidance, theory, and proposed design. The project will not claim that the prototype has been validated, that all students have the same transition experience, or that AI is an accommodation in every context.</w:t>
      </w:r>
    </w:p>
    <w:p w14:paraId="63D67BA7" w14:textId="77777777" w:rsidR="0065088E" w:rsidRDefault="00207BA5">
      <w:pPr>
        <w:pStyle w:val="Heading1"/>
      </w:pPr>
      <w:r>
        <w:t>10. Plan of Action and Timeline</w:t>
      </w:r>
    </w:p>
    <w:p w14:paraId="36529E6B" w14:textId="77777777" w:rsidR="0065088E" w:rsidRDefault="00207BA5">
      <w:r>
        <w:t xml:space="preserve">The administrative sequence follows the confirmed FYCS non-thesis process. Fall 2026 work occurs in FYC 6901 and includes committee setup, proposal development and defense, and continued project work. Spring 2027 work occurs in FYC 6912 and includes completion of the </w:t>
      </w:r>
      <w:r>
        <w:lastRenderedPageBreak/>
        <w:t>project, scheduling and completing the final defense before the Graduate School deadline, and submission of the required signed paperwork.</w:t>
      </w:r>
    </w:p>
    <w:tbl>
      <w:tblPr>
        <w:tblStyle w:val="TableGrid"/>
        <w:tblW w:w="0" w:type="auto"/>
        <w:jc w:val="center"/>
        <w:tblLook w:val="04A0" w:firstRow="1" w:lastRow="0" w:firstColumn="1" w:lastColumn="0" w:noHBand="0" w:noVBand="1"/>
      </w:tblPr>
      <w:tblGrid>
        <w:gridCol w:w="3117"/>
        <w:gridCol w:w="3116"/>
        <w:gridCol w:w="3117"/>
      </w:tblGrid>
      <w:tr w:rsidR="0065088E" w14:paraId="39C03043" w14:textId="77777777">
        <w:trPr>
          <w:jc w:val="center"/>
        </w:trPr>
        <w:tc>
          <w:tcPr>
            <w:tcW w:w="3120" w:type="dxa"/>
            <w:vAlign w:val="center"/>
          </w:tcPr>
          <w:p w14:paraId="1A94462A" w14:textId="77777777" w:rsidR="0065088E" w:rsidRDefault="00207BA5">
            <w:pPr>
              <w:spacing w:before="60" w:after="60" w:line="240" w:lineRule="auto"/>
            </w:pPr>
            <w:r>
              <w:rPr>
                <w:b/>
                <w:sz w:val="19"/>
              </w:rPr>
              <w:t>Timing</w:t>
            </w:r>
          </w:p>
        </w:tc>
        <w:tc>
          <w:tcPr>
            <w:tcW w:w="3120" w:type="dxa"/>
            <w:vAlign w:val="center"/>
          </w:tcPr>
          <w:p w14:paraId="45548430" w14:textId="77777777" w:rsidR="0065088E" w:rsidRDefault="00207BA5">
            <w:pPr>
              <w:spacing w:before="60" w:after="60" w:line="240" w:lineRule="auto"/>
            </w:pPr>
            <w:r>
              <w:rPr>
                <w:b/>
                <w:sz w:val="19"/>
              </w:rPr>
              <w:t>Milestone</w:t>
            </w:r>
          </w:p>
        </w:tc>
        <w:tc>
          <w:tcPr>
            <w:tcW w:w="3120" w:type="dxa"/>
            <w:vAlign w:val="center"/>
          </w:tcPr>
          <w:p w14:paraId="565FF17D" w14:textId="77777777" w:rsidR="0065088E" w:rsidRDefault="00207BA5">
            <w:pPr>
              <w:spacing w:before="60" w:after="60" w:line="240" w:lineRule="auto"/>
            </w:pPr>
            <w:r>
              <w:rPr>
                <w:b/>
                <w:sz w:val="19"/>
              </w:rPr>
              <w:t>Expected Outcome</w:t>
            </w:r>
          </w:p>
        </w:tc>
      </w:tr>
      <w:tr w:rsidR="0065088E" w14:paraId="537556F3" w14:textId="77777777">
        <w:trPr>
          <w:jc w:val="center"/>
        </w:trPr>
        <w:tc>
          <w:tcPr>
            <w:tcW w:w="3120" w:type="dxa"/>
            <w:vAlign w:val="center"/>
          </w:tcPr>
          <w:p w14:paraId="1D084ABE" w14:textId="77777777" w:rsidR="0065088E" w:rsidRDefault="00207BA5">
            <w:pPr>
              <w:spacing w:before="60" w:after="60" w:line="240" w:lineRule="auto"/>
            </w:pPr>
            <w:r>
              <w:rPr>
                <w:sz w:val="19"/>
              </w:rPr>
              <w:t>Early September 2026</w:t>
            </w:r>
          </w:p>
        </w:tc>
        <w:tc>
          <w:tcPr>
            <w:tcW w:w="3120" w:type="dxa"/>
            <w:vAlign w:val="center"/>
          </w:tcPr>
          <w:p w14:paraId="62280AAD" w14:textId="77777777" w:rsidR="0065088E" w:rsidRDefault="00207BA5">
            <w:pPr>
              <w:spacing w:before="60" w:after="60" w:line="240" w:lineRule="auto"/>
            </w:pPr>
            <w:r>
              <w:rPr>
                <w:sz w:val="19"/>
              </w:rPr>
              <w:t>Committee setup and proposal submission</w:t>
            </w:r>
          </w:p>
        </w:tc>
        <w:tc>
          <w:tcPr>
            <w:tcW w:w="3120" w:type="dxa"/>
            <w:vAlign w:val="center"/>
          </w:tcPr>
          <w:p w14:paraId="352E7CC5" w14:textId="77777777" w:rsidR="0065088E" w:rsidRDefault="00207BA5">
            <w:pPr>
              <w:spacing w:before="60" w:after="60" w:line="240" w:lineRule="auto"/>
            </w:pPr>
            <w:r>
              <w:rPr>
                <w:sz w:val="19"/>
              </w:rPr>
              <w:t>Committee chair Dr. Dale Pracht and committee member Dr. K confirmed; committee information submitted to Nicci/Nicole for entry into the Graduate School system; revised proposal circulated.</w:t>
            </w:r>
          </w:p>
        </w:tc>
      </w:tr>
      <w:tr w:rsidR="0065088E" w14:paraId="50E22ADE" w14:textId="77777777">
        <w:trPr>
          <w:jc w:val="center"/>
        </w:trPr>
        <w:tc>
          <w:tcPr>
            <w:tcW w:w="3120" w:type="dxa"/>
            <w:vAlign w:val="center"/>
          </w:tcPr>
          <w:p w14:paraId="579589C2" w14:textId="77777777" w:rsidR="0065088E" w:rsidRDefault="00207BA5">
            <w:pPr>
              <w:spacing w:before="60" w:after="60" w:line="240" w:lineRule="auto"/>
            </w:pPr>
            <w:r>
              <w:rPr>
                <w:sz w:val="19"/>
              </w:rPr>
              <w:t>Mid-September 2026</w:t>
            </w:r>
          </w:p>
        </w:tc>
        <w:tc>
          <w:tcPr>
            <w:tcW w:w="3120" w:type="dxa"/>
            <w:vAlign w:val="center"/>
          </w:tcPr>
          <w:p w14:paraId="1ED2BD62" w14:textId="77777777" w:rsidR="0065088E" w:rsidRDefault="00207BA5">
            <w:pPr>
              <w:spacing w:before="60" w:after="60" w:line="240" w:lineRule="auto"/>
            </w:pPr>
            <w:r>
              <w:rPr>
                <w:sz w:val="19"/>
              </w:rPr>
              <w:t>Proposal review and proposal defense preparation</w:t>
            </w:r>
          </w:p>
        </w:tc>
        <w:tc>
          <w:tcPr>
            <w:tcW w:w="3120" w:type="dxa"/>
            <w:vAlign w:val="center"/>
          </w:tcPr>
          <w:p w14:paraId="15B80D47" w14:textId="77777777" w:rsidR="0065088E" w:rsidRDefault="00207BA5">
            <w:pPr>
              <w:spacing w:before="60" w:after="60" w:line="240" w:lineRule="auto"/>
            </w:pPr>
            <w:r>
              <w:rPr>
                <w:sz w:val="19"/>
              </w:rPr>
              <w:t>Resolve committee feedback; confirm bridge scope, three-paper architecture, publication orientation, methods, and applied-product boundaries.</w:t>
            </w:r>
          </w:p>
        </w:tc>
      </w:tr>
      <w:tr w:rsidR="0065088E" w14:paraId="719A0205" w14:textId="77777777">
        <w:trPr>
          <w:jc w:val="center"/>
        </w:trPr>
        <w:tc>
          <w:tcPr>
            <w:tcW w:w="3120" w:type="dxa"/>
            <w:vAlign w:val="center"/>
          </w:tcPr>
          <w:p w14:paraId="0F936AD5" w14:textId="77777777" w:rsidR="0065088E" w:rsidRDefault="00207BA5">
            <w:pPr>
              <w:spacing w:before="60" w:after="60" w:line="240" w:lineRule="auto"/>
            </w:pPr>
            <w:r>
              <w:rPr>
                <w:sz w:val="19"/>
              </w:rPr>
              <w:t>Fall 2026 - FYC 6901</w:t>
            </w:r>
          </w:p>
        </w:tc>
        <w:tc>
          <w:tcPr>
            <w:tcW w:w="3120" w:type="dxa"/>
            <w:vAlign w:val="center"/>
          </w:tcPr>
          <w:p w14:paraId="25761B3D" w14:textId="77777777" w:rsidR="0065088E" w:rsidRDefault="00207BA5">
            <w:pPr>
              <w:spacing w:before="60" w:after="60" w:line="240" w:lineRule="auto"/>
            </w:pPr>
            <w:r>
              <w:rPr>
                <w:sz w:val="19"/>
              </w:rPr>
              <w:t>Defend proposal and submit signed proposal</w:t>
            </w:r>
          </w:p>
        </w:tc>
        <w:tc>
          <w:tcPr>
            <w:tcW w:w="3120" w:type="dxa"/>
            <w:vAlign w:val="center"/>
          </w:tcPr>
          <w:p w14:paraId="3EFFACEE" w14:textId="77777777" w:rsidR="0065088E" w:rsidRDefault="00207BA5">
            <w:pPr>
              <w:spacing w:before="60" w:after="60" w:line="240" w:lineRule="auto"/>
            </w:pPr>
            <w:r>
              <w:rPr>
                <w:sz w:val="19"/>
              </w:rPr>
              <w:t>Complete proposal defense; submit signed proposal to Nicci; continue project work as needed.</w:t>
            </w:r>
          </w:p>
        </w:tc>
      </w:tr>
      <w:tr w:rsidR="0065088E" w14:paraId="44074BF0" w14:textId="77777777">
        <w:trPr>
          <w:jc w:val="center"/>
        </w:trPr>
        <w:tc>
          <w:tcPr>
            <w:tcW w:w="3120" w:type="dxa"/>
            <w:vAlign w:val="center"/>
          </w:tcPr>
          <w:p w14:paraId="3C4C78AC" w14:textId="77777777" w:rsidR="0065088E" w:rsidRDefault="00207BA5">
            <w:pPr>
              <w:spacing w:before="60" w:after="60" w:line="240" w:lineRule="auto"/>
            </w:pPr>
            <w:r>
              <w:rPr>
                <w:sz w:val="19"/>
              </w:rPr>
              <w:t>September 2026</w:t>
            </w:r>
          </w:p>
        </w:tc>
        <w:tc>
          <w:tcPr>
            <w:tcW w:w="3120" w:type="dxa"/>
            <w:vAlign w:val="center"/>
          </w:tcPr>
          <w:p w14:paraId="5CBE25E4" w14:textId="77777777" w:rsidR="0065088E" w:rsidRDefault="00207BA5">
            <w:pPr>
              <w:spacing w:before="60" w:after="60" w:line="240" w:lineRule="auto"/>
            </w:pPr>
            <w:r>
              <w:rPr>
                <w:sz w:val="19"/>
              </w:rPr>
              <w:t>Paper 1 refinement</w:t>
            </w:r>
          </w:p>
        </w:tc>
        <w:tc>
          <w:tcPr>
            <w:tcW w:w="3120" w:type="dxa"/>
            <w:vAlign w:val="center"/>
          </w:tcPr>
          <w:p w14:paraId="05C079A4" w14:textId="77777777" w:rsidR="0065088E" w:rsidRDefault="00207BA5">
            <w:pPr>
              <w:spacing w:before="60" w:after="60" w:line="240" w:lineRule="auto"/>
            </w:pPr>
            <w:r>
              <w:rPr>
                <w:sz w:val="19"/>
              </w:rPr>
              <w:t>Complete citation audit, strengthen synthesis, and prepare the needs-assessment manuscript for advisor/coauthor review and later journal targeting.</w:t>
            </w:r>
          </w:p>
        </w:tc>
      </w:tr>
      <w:tr w:rsidR="0065088E" w14:paraId="6958525A" w14:textId="77777777">
        <w:trPr>
          <w:jc w:val="center"/>
        </w:trPr>
        <w:tc>
          <w:tcPr>
            <w:tcW w:w="3120" w:type="dxa"/>
            <w:vAlign w:val="center"/>
          </w:tcPr>
          <w:p w14:paraId="66F91B57" w14:textId="1CA90AAF" w:rsidR="0065088E" w:rsidRDefault="00207BA5" w:rsidP="00B97D0E">
            <w:pPr>
              <w:spacing w:before="60" w:after="60"/>
            </w:pPr>
            <w:r w:rsidRPr="00B97D0E">
              <w:rPr>
                <w:sz w:val="19"/>
                <w:szCs w:val="19"/>
              </w:rPr>
              <w:t>September</w:t>
            </w:r>
            <w:r w:rsidR="00B97D0E" w:rsidRPr="00B97D0E">
              <w:rPr>
                <w:sz w:val="19"/>
                <w:szCs w:val="19"/>
              </w:rPr>
              <w:t>–</w:t>
            </w:r>
            <w:r w:rsidRPr="00B97D0E">
              <w:rPr>
                <w:sz w:val="19"/>
                <w:szCs w:val="19"/>
              </w:rPr>
              <w:t>October 2026</w:t>
            </w:r>
          </w:p>
        </w:tc>
        <w:tc>
          <w:tcPr>
            <w:tcW w:w="3120" w:type="dxa"/>
            <w:vAlign w:val="center"/>
          </w:tcPr>
          <w:p w14:paraId="7D9ABAAF" w14:textId="77777777" w:rsidR="0065088E" w:rsidRDefault="00207BA5">
            <w:pPr>
              <w:spacing w:before="60" w:after="60" w:line="240" w:lineRule="auto"/>
            </w:pPr>
            <w:r>
              <w:rPr>
                <w:sz w:val="19"/>
              </w:rPr>
              <w:t>Paper 2 refinement</w:t>
            </w:r>
          </w:p>
        </w:tc>
        <w:tc>
          <w:tcPr>
            <w:tcW w:w="3120" w:type="dxa"/>
            <w:vAlign w:val="center"/>
          </w:tcPr>
          <w:p w14:paraId="33F8C2DC" w14:textId="77777777" w:rsidR="0065088E" w:rsidRDefault="00207BA5">
            <w:pPr>
              <w:spacing w:before="60" w:after="60" w:line="240" w:lineRule="auto"/>
            </w:pPr>
            <w:r>
              <w:rPr>
                <w:sz w:val="19"/>
              </w:rPr>
              <w:t>Complete resource/gap analysis, integrate appropriate CUNY higher-education evidence, and prepare the manuscript for advisor/coauthor review and later journal targeting.</w:t>
            </w:r>
          </w:p>
        </w:tc>
      </w:tr>
      <w:tr w:rsidR="0065088E" w14:paraId="11128651" w14:textId="77777777">
        <w:trPr>
          <w:jc w:val="center"/>
        </w:trPr>
        <w:tc>
          <w:tcPr>
            <w:tcW w:w="3120" w:type="dxa"/>
            <w:vAlign w:val="center"/>
          </w:tcPr>
          <w:p w14:paraId="7C5C3E21" w14:textId="77777777" w:rsidR="0065088E" w:rsidRDefault="00207BA5">
            <w:pPr>
              <w:spacing w:before="60" w:after="60" w:line="240" w:lineRule="auto"/>
            </w:pPr>
            <w:r>
              <w:rPr>
                <w:sz w:val="19"/>
              </w:rPr>
              <w:t>October-November 2026</w:t>
            </w:r>
          </w:p>
        </w:tc>
        <w:tc>
          <w:tcPr>
            <w:tcW w:w="3120" w:type="dxa"/>
            <w:vAlign w:val="center"/>
          </w:tcPr>
          <w:p w14:paraId="79C8665B" w14:textId="77777777" w:rsidR="0065088E" w:rsidRDefault="00207BA5">
            <w:pPr>
              <w:spacing w:before="60" w:after="60" w:line="240" w:lineRule="auto"/>
            </w:pPr>
            <w:r>
              <w:rPr>
                <w:sz w:val="19"/>
              </w:rPr>
              <w:t>Paper 3 and applied prototype</w:t>
            </w:r>
          </w:p>
        </w:tc>
        <w:tc>
          <w:tcPr>
            <w:tcW w:w="3120" w:type="dxa"/>
            <w:vAlign w:val="center"/>
          </w:tcPr>
          <w:p w14:paraId="180BA054" w14:textId="77777777" w:rsidR="0065088E" w:rsidRDefault="00207BA5">
            <w:pPr>
              <w:spacing w:before="60" w:after="60" w:line="240" w:lineRule="auto"/>
            </w:pPr>
            <w:r>
              <w:rPr>
                <w:sz w:val="19"/>
              </w:rPr>
              <w:t>Draft the applied bridge manuscript and build the bounded web/app demonstration derived from Papers 1 and 2.</w:t>
            </w:r>
          </w:p>
        </w:tc>
      </w:tr>
      <w:tr w:rsidR="0065088E" w14:paraId="51400A8B" w14:textId="77777777">
        <w:trPr>
          <w:jc w:val="center"/>
        </w:trPr>
        <w:tc>
          <w:tcPr>
            <w:tcW w:w="3120" w:type="dxa"/>
            <w:vAlign w:val="center"/>
          </w:tcPr>
          <w:p w14:paraId="0EB79610" w14:textId="77777777" w:rsidR="0065088E" w:rsidRDefault="00207BA5">
            <w:pPr>
              <w:spacing w:before="60" w:after="60" w:line="240" w:lineRule="auto"/>
            </w:pPr>
            <w:r>
              <w:rPr>
                <w:sz w:val="19"/>
              </w:rPr>
              <w:t>November-December 2026</w:t>
            </w:r>
          </w:p>
        </w:tc>
        <w:tc>
          <w:tcPr>
            <w:tcW w:w="3120" w:type="dxa"/>
            <w:vAlign w:val="center"/>
          </w:tcPr>
          <w:p w14:paraId="3404A5FA" w14:textId="77777777" w:rsidR="0065088E" w:rsidRDefault="00207BA5">
            <w:pPr>
              <w:spacing w:before="60" w:after="60" w:line="240" w:lineRule="auto"/>
            </w:pPr>
            <w:r>
              <w:rPr>
                <w:sz w:val="19"/>
              </w:rPr>
              <w:t>Integration and publication refinement</w:t>
            </w:r>
          </w:p>
        </w:tc>
        <w:tc>
          <w:tcPr>
            <w:tcW w:w="3120" w:type="dxa"/>
            <w:vAlign w:val="center"/>
          </w:tcPr>
          <w:p w14:paraId="31602A35" w14:textId="77777777" w:rsidR="0065088E" w:rsidRDefault="00207BA5">
            <w:pPr>
              <w:spacing w:before="60" w:after="60" w:line="240" w:lineRule="auto"/>
            </w:pPr>
            <w:r>
              <w:rPr>
                <w:sz w:val="19"/>
              </w:rPr>
              <w:t>Align all three papers, references, terminology, and conclusions; refine manuscripts toward possible peer-reviewed journal submission; complete prototype documentation.</w:t>
            </w:r>
          </w:p>
        </w:tc>
      </w:tr>
      <w:tr w:rsidR="0065088E" w14:paraId="48870CBF" w14:textId="77777777">
        <w:trPr>
          <w:jc w:val="center"/>
        </w:trPr>
        <w:tc>
          <w:tcPr>
            <w:tcW w:w="3120" w:type="dxa"/>
            <w:vAlign w:val="center"/>
          </w:tcPr>
          <w:p w14:paraId="20E167CA" w14:textId="77777777" w:rsidR="0065088E" w:rsidRDefault="00207BA5">
            <w:pPr>
              <w:spacing w:before="60" w:after="60" w:line="240" w:lineRule="auto"/>
            </w:pPr>
            <w:r>
              <w:rPr>
                <w:sz w:val="19"/>
              </w:rPr>
              <w:t>Spring 2027 - FYC 6912</w:t>
            </w:r>
          </w:p>
        </w:tc>
        <w:tc>
          <w:tcPr>
            <w:tcW w:w="3120" w:type="dxa"/>
            <w:vAlign w:val="center"/>
          </w:tcPr>
          <w:p w14:paraId="02577C70" w14:textId="77777777" w:rsidR="0065088E" w:rsidRDefault="00207BA5">
            <w:pPr>
              <w:spacing w:before="60" w:after="60" w:line="240" w:lineRule="auto"/>
            </w:pPr>
            <w:r>
              <w:rPr>
                <w:sz w:val="19"/>
              </w:rPr>
              <w:t>Complete project and set defense date</w:t>
            </w:r>
          </w:p>
        </w:tc>
        <w:tc>
          <w:tcPr>
            <w:tcW w:w="3120" w:type="dxa"/>
            <w:vAlign w:val="center"/>
          </w:tcPr>
          <w:p w14:paraId="714D962C" w14:textId="77777777" w:rsidR="0065088E" w:rsidRDefault="00207BA5">
            <w:pPr>
              <w:spacing w:before="60" w:after="60" w:line="240" w:lineRule="auto"/>
            </w:pPr>
            <w:r>
              <w:rPr>
                <w:sz w:val="19"/>
              </w:rPr>
              <w:t>Continue project revisions; set a final defense date before the Graduate School deadline once published; send Nicole and Nicci the defense date at least one month before the defense.</w:t>
            </w:r>
          </w:p>
        </w:tc>
      </w:tr>
      <w:tr w:rsidR="0065088E" w14:paraId="3FE4F76E" w14:textId="77777777">
        <w:trPr>
          <w:jc w:val="center"/>
        </w:trPr>
        <w:tc>
          <w:tcPr>
            <w:tcW w:w="3120" w:type="dxa"/>
            <w:vAlign w:val="center"/>
          </w:tcPr>
          <w:p w14:paraId="0000E869" w14:textId="77777777" w:rsidR="0065088E" w:rsidRDefault="00207BA5">
            <w:pPr>
              <w:spacing w:before="60" w:after="60" w:line="240" w:lineRule="auto"/>
            </w:pPr>
            <w:r>
              <w:rPr>
                <w:sz w:val="19"/>
              </w:rPr>
              <w:t>Before Spring 2027 defense</w:t>
            </w:r>
          </w:p>
        </w:tc>
        <w:tc>
          <w:tcPr>
            <w:tcW w:w="3120" w:type="dxa"/>
            <w:vAlign w:val="center"/>
          </w:tcPr>
          <w:p w14:paraId="3DE0C2A3" w14:textId="77777777" w:rsidR="0065088E" w:rsidRDefault="00207BA5">
            <w:pPr>
              <w:spacing w:before="60" w:after="60" w:line="240" w:lineRule="auto"/>
            </w:pPr>
            <w:r>
              <w:rPr>
                <w:sz w:val="19"/>
              </w:rPr>
              <w:t>Defense paperwork</w:t>
            </w:r>
          </w:p>
        </w:tc>
        <w:tc>
          <w:tcPr>
            <w:tcW w:w="3120" w:type="dxa"/>
            <w:vAlign w:val="center"/>
          </w:tcPr>
          <w:p w14:paraId="7297AD6C" w14:textId="77777777" w:rsidR="0065088E" w:rsidRDefault="00207BA5">
            <w:pPr>
              <w:spacing w:before="60" w:after="60" w:line="240" w:lineRule="auto"/>
            </w:pPr>
            <w:r>
              <w:rPr>
                <w:sz w:val="19"/>
              </w:rPr>
              <w:t>Nicole generates required paperwork and circulates it through DocuSign prior to the defense.</w:t>
            </w:r>
          </w:p>
        </w:tc>
      </w:tr>
      <w:tr w:rsidR="0065088E" w14:paraId="5616495F" w14:textId="77777777">
        <w:trPr>
          <w:jc w:val="center"/>
        </w:trPr>
        <w:tc>
          <w:tcPr>
            <w:tcW w:w="3120" w:type="dxa"/>
            <w:vAlign w:val="center"/>
          </w:tcPr>
          <w:p w14:paraId="4DF4FFB7" w14:textId="77777777" w:rsidR="0065088E" w:rsidRDefault="00207BA5">
            <w:pPr>
              <w:spacing w:before="60" w:after="60" w:line="240" w:lineRule="auto"/>
            </w:pPr>
            <w:r>
              <w:rPr>
                <w:sz w:val="19"/>
              </w:rPr>
              <w:t>Spring 2027</w:t>
            </w:r>
          </w:p>
        </w:tc>
        <w:tc>
          <w:tcPr>
            <w:tcW w:w="3120" w:type="dxa"/>
            <w:vAlign w:val="center"/>
          </w:tcPr>
          <w:p w14:paraId="4B02F7A1" w14:textId="77777777" w:rsidR="0065088E" w:rsidRDefault="00207BA5">
            <w:pPr>
              <w:spacing w:before="60" w:after="60" w:line="240" w:lineRule="auto"/>
            </w:pPr>
            <w:r>
              <w:rPr>
                <w:sz w:val="19"/>
              </w:rPr>
              <w:t>Final non-thesis project defense and completion</w:t>
            </w:r>
          </w:p>
        </w:tc>
        <w:tc>
          <w:tcPr>
            <w:tcW w:w="3120" w:type="dxa"/>
            <w:vAlign w:val="center"/>
          </w:tcPr>
          <w:p w14:paraId="4BE2C7C2" w14:textId="77777777" w:rsidR="0065088E" w:rsidRDefault="00207BA5">
            <w:pPr>
              <w:spacing w:before="60" w:after="60" w:line="240" w:lineRule="auto"/>
            </w:pPr>
            <w:r>
              <w:rPr>
                <w:sz w:val="19"/>
              </w:rPr>
              <w:t>Defend the completed project; complete signatures; signed paperwork submitted to the Graduate School.</w:t>
            </w:r>
          </w:p>
        </w:tc>
      </w:tr>
    </w:tbl>
    <w:p w14:paraId="65FF7BC1" w14:textId="77777777" w:rsidR="00207BA5" w:rsidRDefault="00207BA5" w:rsidP="00204508">
      <w:pPr>
        <w:pStyle w:val="Heading1"/>
      </w:pPr>
      <w:r>
        <w:lastRenderedPageBreak/>
        <w:t>11. Anticipated Final Non-Thesis Submission</w:t>
      </w:r>
    </w:p>
    <w:p w14:paraId="7ED5781E" w14:textId="77777777" w:rsidR="0065088E" w:rsidRDefault="00207BA5">
      <w:r>
        <w:t>The final non-thesis submission will present the project as a coherent research-to-practice sequence rather than as a single conventional chapter-based paper. It will include an integrative introduction and project rationale; the three publication-oriented manuscripts or committee-approved versions of them; a synthesis explaining how the findings connect; the evidence-informed access and transition hub framework; the drafted web/app prototype and design documentation; limitations and future research; and co</w:t>
      </w:r>
      <w:r>
        <w:t>mplete APA-formatted references and appendices as appropriate.</w:t>
      </w:r>
    </w:p>
    <w:p w14:paraId="5E6E190C" w14:textId="77777777" w:rsidR="0065088E" w:rsidRDefault="00207BA5">
      <w:r>
        <w:t>The principal contribution will be to define and respond to a continuity problem across educational systems: students with invisible disabilities may encounter strong resources on both sides of the secondary-to-postsecondary transition while still carrying a substantial burden of translating information into action, disclosure, accommodation implementation, and follow-up. The project will identify which parts of that burden are supported by evidence and then demonstrate a bounded, student-centered way to br</w:t>
      </w:r>
      <w:r>
        <w:t>idge the gap without replacing institutional responsibility or human judgment.</w:t>
      </w:r>
    </w:p>
    <w:p w14:paraId="40C3CED4" w14:textId="77777777" w:rsidR="0065088E" w:rsidRDefault="00207BA5">
      <w:r>
        <w:t>The completed UF project is also designed to establish a defensible foundation for broader future doctoral work. A later Mississippi State EPOD capstone may examine policy, organizational design, implementation, governance, professional learning, institutional adoption, accessibility, AI-use policy, and evaluation across systems. The UF project will therefore build and justify the bridge; later doctoral work may study how organizations and policies support, implement, or scale that bridge.</w:t>
      </w:r>
    </w:p>
    <w:p w14:paraId="32E28351" w14:textId="77777777" w:rsidR="0065088E" w:rsidRDefault="00207BA5">
      <w:r>
        <w:br w:type="page"/>
      </w:r>
    </w:p>
    <w:p w14:paraId="7004B383" w14:textId="77777777" w:rsidR="00CE3030" w:rsidRDefault="00CE3030">
      <w:pPr>
        <w:rPr>
          <w:kern w:val="2"/>
          <w:szCs w:val="24"/>
          <w14:ligatures w14:val="standardContextual"/>
        </w:rPr>
      </w:pPr>
      <w:r>
        <w:lastRenderedPageBreak/>
        <w:t>Before final submission, all in-text citations and reference entries will be cross-checked for one-to-one correspondence, publication status, DOI accuracy, retrieval-date requirements, and APA 7 formatting. Sources listed as advance online publication, undated government guidance, or web-based guidance will receive priority review because those entries are most likely to require updated bibliographic details before committee or journal submission.</w:t>
      </w:r>
    </w:p>
    <w:p w14:paraId="36D48E45" w14:textId="77777777" w:rsidR="0065088E" w:rsidRDefault="00207BA5">
      <w:pPr>
        <w:pStyle w:val="Heading1"/>
      </w:pPr>
      <w:r>
        <w:t>References</w:t>
      </w:r>
    </w:p>
    <w:p w14:paraId="1362D0B9" w14:textId="77777777" w:rsidR="0065088E" w:rsidRDefault="00207BA5">
      <w:pPr>
        <w:ind w:left="720" w:hanging="720"/>
      </w:pPr>
      <w:r>
        <w:t xml:space="preserve">Arnett, J. J. (2000). Emerging adulthood: A theory of development from the late teens through the twenties. </w:t>
      </w:r>
      <w:r>
        <w:rPr>
          <w:i/>
        </w:rPr>
        <w:t>American Psychologist, 55</w:t>
      </w:r>
      <w:r>
        <w:t>(5), 469-480. https://doi.org/10.1037/0003-066X.55.5.469</w:t>
      </w:r>
    </w:p>
    <w:p w14:paraId="50EE1303" w14:textId="77777777" w:rsidR="0065088E" w:rsidRPr="00CE3030" w:rsidRDefault="00207BA5">
      <w:pPr>
        <w:ind w:left="720" w:hanging="720"/>
        <w:rPr>
          <w:lang w:val="fr-FR"/>
        </w:rPr>
      </w:pPr>
      <w:r>
        <w:t xml:space="preserve">Blasey, J., Wang, C., &amp; Blasey, R. (2023). Accommodation use and academic outcomes for college students with disabilities. </w:t>
      </w:r>
      <w:proofErr w:type="spellStart"/>
      <w:r w:rsidRPr="00CE3030">
        <w:rPr>
          <w:i/>
          <w:lang w:val="fr-FR"/>
        </w:rPr>
        <w:t>Psychological</w:t>
      </w:r>
      <w:proofErr w:type="spellEnd"/>
      <w:r w:rsidRPr="00CE3030">
        <w:rPr>
          <w:i/>
          <w:lang w:val="fr-FR"/>
        </w:rPr>
        <w:t xml:space="preserve"> Reports, 126</w:t>
      </w:r>
      <w:r w:rsidRPr="00CE3030">
        <w:rPr>
          <w:lang w:val="fr-FR"/>
        </w:rPr>
        <w:t>(4), 1891-1909. https://doi.org/10.1177/00332941221078011</w:t>
      </w:r>
    </w:p>
    <w:p w14:paraId="585C30B5" w14:textId="77777777" w:rsidR="0065088E" w:rsidRDefault="00207BA5">
      <w:pPr>
        <w:ind w:left="720" w:hanging="720"/>
      </w:pPr>
      <w:r w:rsidRPr="00CE3030">
        <w:rPr>
          <w:lang w:val="fr-FR"/>
        </w:rPr>
        <w:t xml:space="preserve">Bronfenbrenner, U., &amp; Morris, P. A. (2006). </w:t>
      </w:r>
      <w:r>
        <w:t xml:space="preserve">The bioecological model of human development. In W. Damon &amp; R. M. Lerner (Eds.), </w:t>
      </w:r>
      <w:r>
        <w:rPr>
          <w:i/>
        </w:rPr>
        <w:t>Handbook of child psychology: Vol. 1. Theoretical models of human development</w:t>
      </w:r>
      <w:r>
        <w:t xml:space="preserve"> (6th ed., pp. 793-828). Wiley. https://doi.org/10.1002/9780470147658.chpsy0114</w:t>
      </w:r>
    </w:p>
    <w:p w14:paraId="63C568B1" w14:textId="77777777" w:rsidR="0065088E" w:rsidRDefault="00207BA5">
      <w:pPr>
        <w:ind w:left="720" w:hanging="720"/>
      </w:pPr>
      <w:r>
        <w:t xml:space="preserve">CAST. (2024). </w:t>
      </w:r>
      <w:r>
        <w:rPr>
          <w:i/>
        </w:rPr>
        <w:t>CAST Universal Design for Learning Guidelines version 3.0</w:t>
      </w:r>
      <w:r>
        <w:t>. https://udlguidelines.cast.org/</w:t>
      </w:r>
    </w:p>
    <w:p w14:paraId="274E3F72" w14:textId="77777777" w:rsidR="0065088E" w:rsidRDefault="00207BA5">
      <w:pPr>
        <w:ind w:left="720" w:hanging="720"/>
      </w:pPr>
      <w:r w:rsidRPr="00CE3030">
        <w:rPr>
          <w:lang w:val="es-ES"/>
        </w:rPr>
        <w:t xml:space="preserve">Cho, J. I., &amp; Jones, K. (2024). </w:t>
      </w:r>
      <w:r>
        <w:t xml:space="preserve">How do college students with disabilities do? Law, self-determination, self-advocacy, and campus resources. </w:t>
      </w:r>
      <w:r>
        <w:rPr>
          <w:i/>
        </w:rPr>
        <w:t>Journal of the Scholarship of Teaching and Learning, 24</w:t>
      </w:r>
      <w:r>
        <w:t>(3), 68-86. https://doi.org/10.14434/josotl.v24i3.35703</w:t>
      </w:r>
    </w:p>
    <w:p w14:paraId="7FE4B687" w14:textId="77777777" w:rsidR="0065088E" w:rsidRDefault="00207BA5">
      <w:pPr>
        <w:ind w:left="720" w:hanging="720"/>
      </w:pPr>
      <w:r>
        <w:lastRenderedPageBreak/>
        <w:t xml:space="preserve">Coughlan, T., &amp; Iniesto, F. (2025). What should I know? Analysing behaviour and feedback from student use of a virtual assistant to share information about disabilities. </w:t>
      </w:r>
      <w:r>
        <w:rPr>
          <w:i/>
        </w:rPr>
        <w:t>The Internet and Higher Education, 66</w:t>
      </w:r>
      <w:r>
        <w:t>, Article 101002. https://doi.org/10.1016/j.iheduc.2025.101002</w:t>
      </w:r>
    </w:p>
    <w:p w14:paraId="043B4924" w14:textId="77777777" w:rsidR="0065088E" w:rsidRDefault="00207BA5">
      <w:pPr>
        <w:ind w:left="720" w:hanging="720"/>
      </w:pPr>
      <w:r>
        <w:t xml:space="preserve">Cumming, T. M., &amp; Rose, M. C. (2022). Exploring universal design for learning as an accessibility tool in higher education: A review of the current literature. </w:t>
      </w:r>
      <w:r>
        <w:rPr>
          <w:i/>
        </w:rPr>
        <w:t>The Australian Educational Researcher, 49</w:t>
      </w:r>
      <w:r>
        <w:t>(5), 1025-1043. https://doi.org/10.1007/s13384-021-00471-7</w:t>
      </w:r>
    </w:p>
    <w:p w14:paraId="7171935C" w14:textId="77777777" w:rsidR="0065088E" w:rsidRDefault="00207BA5">
      <w:pPr>
        <w:ind w:left="720" w:hanging="720"/>
      </w:pPr>
      <w:r>
        <w:t xml:space="preserve">Edwards, M., Poed, S., Al-Nawab, H., &amp; Penna, O. (2022). Academic accommodations for university students living with disability and the potential of universal design to address their needs. </w:t>
      </w:r>
      <w:r>
        <w:rPr>
          <w:i/>
        </w:rPr>
        <w:t>Higher Education, 84</w:t>
      </w:r>
      <w:r>
        <w:t>(4), 779-799. https://doi.org/10.1007/s10734-021-00800-w</w:t>
      </w:r>
    </w:p>
    <w:p w14:paraId="2D2F33D9" w14:textId="77777777" w:rsidR="0065088E" w:rsidRDefault="00207BA5">
      <w:pPr>
        <w:ind w:left="720" w:hanging="720"/>
      </w:pPr>
      <w:r>
        <w:t xml:space="preserve">Foley, A., &amp; Melese, F. (2025). Disabling AI: Power, exclusion, and disability. </w:t>
      </w:r>
      <w:r>
        <w:rPr>
          <w:i/>
        </w:rPr>
        <w:t>British Journal of Sociology of Education</w:t>
      </w:r>
      <w:r>
        <w:t>. Advance online publication. https://doi.org/10.1080/01425692.2025.2519482</w:t>
      </w:r>
    </w:p>
    <w:p w14:paraId="06E4D664" w14:textId="77777777" w:rsidR="0065088E" w:rsidRDefault="00207BA5">
      <w:pPr>
        <w:ind w:left="720" w:hanging="720"/>
      </w:pPr>
      <w:r>
        <w:t xml:space="preserve">Hsiao, F., Burgstahler, S., Johnson, T., Nuss, D., &amp; Doherty, M. (2019). Promoting an accessible learning environment for students with disabilities via faculty development. </w:t>
      </w:r>
      <w:r>
        <w:rPr>
          <w:i/>
        </w:rPr>
        <w:t>Journal of Postsecondary Education and Disability, 32</w:t>
      </w:r>
      <w:r>
        <w:t>(1), 91-99.</w:t>
      </w:r>
    </w:p>
    <w:p w14:paraId="1401638B" w14:textId="77777777" w:rsidR="0065088E" w:rsidRDefault="00207BA5">
      <w:pPr>
        <w:ind w:left="720" w:hanging="720"/>
      </w:pPr>
      <w:r>
        <w:t xml:space="preserve">Kline, B., &amp; Davidson, D. L. (2022). College students with invisible illnesses and disabilities: Disclosure, hiding, and support. </w:t>
      </w:r>
      <w:r>
        <w:rPr>
          <w:i/>
        </w:rPr>
        <w:t>College Student Affairs Journal, 40</w:t>
      </w:r>
      <w:r>
        <w:t>(3), 121-135. https://doi.org/10.1353/csj.2022.0030</w:t>
      </w:r>
    </w:p>
    <w:p w14:paraId="14547B3A" w14:textId="77777777" w:rsidR="0065088E" w:rsidRDefault="00207BA5">
      <w:pPr>
        <w:ind w:left="720" w:hanging="720"/>
      </w:pPr>
      <w:r>
        <w:t xml:space="preserve">McNicholl, A., Casey, H., Desmond, D., &amp; Gallagher, P. (2021). The impact of assistive technology use for students with disabilities in higher education: A systematic review. </w:t>
      </w:r>
      <w:r>
        <w:rPr>
          <w:i/>
        </w:rPr>
        <w:t>Disability and Rehabilitation: Assistive Technology, 16</w:t>
      </w:r>
      <w:r>
        <w:t>(2), 130-143. https://doi.org/10.1080/17483107.2019.1642395</w:t>
      </w:r>
    </w:p>
    <w:p w14:paraId="08082E99" w14:textId="77777777" w:rsidR="0065088E" w:rsidRDefault="00207BA5">
      <w:pPr>
        <w:ind w:left="720" w:hanging="720"/>
      </w:pPr>
      <w:r>
        <w:lastRenderedPageBreak/>
        <w:t xml:space="preserve">McNicholl, A., Desmond, D., &amp; Gallagher, P. (2023). Assistive technologies, educational engagement and psychosocial outcomes among students with disabilities in higher education. </w:t>
      </w:r>
      <w:r>
        <w:rPr>
          <w:i/>
        </w:rPr>
        <w:t>Disability and Rehabilitation: Assistive Technology, 18</w:t>
      </w:r>
      <w:r>
        <w:t>(1), 50-58. https://doi.org/10.1080/17483107.2020.1854874</w:t>
      </w:r>
    </w:p>
    <w:p w14:paraId="3CF064D8" w14:textId="77777777" w:rsidR="0065088E" w:rsidRDefault="00207BA5">
      <w:pPr>
        <w:ind w:left="720" w:hanging="720"/>
      </w:pPr>
      <w:r>
        <w:t xml:space="preserve">Melián, E., &amp; Meneses, J. (2022). Getting ahead in the online university: Disclosure experiences of students with apparent and hidden disabilities. </w:t>
      </w:r>
      <w:r>
        <w:rPr>
          <w:i/>
        </w:rPr>
        <w:t>International Journal of Educational Research, 114</w:t>
      </w:r>
      <w:r>
        <w:t>, Article 101991. https://doi.org/10.1016/j.ijer.2022.101991</w:t>
      </w:r>
    </w:p>
    <w:p w14:paraId="6D599453" w14:textId="77777777" w:rsidR="0065088E" w:rsidRDefault="00207BA5">
      <w:pPr>
        <w:ind w:left="720" w:hanging="720"/>
      </w:pPr>
      <w:r>
        <w:t xml:space="preserve">Parsons, J. M., McColl, M. A., Martin, A., &amp; Reynard, D. (2023). Transition and accommodation experiences of students with disabilities: A qualitative study. </w:t>
      </w:r>
      <w:r>
        <w:rPr>
          <w:i/>
        </w:rPr>
        <w:t>Journal of Postsecondary Education and Disability, 36</w:t>
      </w:r>
      <w:r>
        <w:t>(2), 179-192.</w:t>
      </w:r>
    </w:p>
    <w:p w14:paraId="209C1689" w14:textId="77777777" w:rsidR="0065088E" w:rsidRDefault="00207BA5">
      <w:pPr>
        <w:ind w:left="720" w:hanging="720"/>
      </w:pPr>
      <w:r>
        <w:t xml:space="preserve">Pierrès, O., Darvishy, A., &amp; Christen, M. (2025). Exploring the role of generative AI in higher education: Semi-structured interviews with students with disabilities. </w:t>
      </w:r>
      <w:r>
        <w:rPr>
          <w:i/>
        </w:rPr>
        <w:t>Education and Information Technologies, 30</w:t>
      </w:r>
      <w:r>
        <w:t>(7), 8923-8952. https://doi.org/10.1007/s10639-024-13134-8</w:t>
      </w:r>
    </w:p>
    <w:p w14:paraId="1F194C48" w14:textId="77777777" w:rsidR="0065088E" w:rsidRDefault="00207BA5">
      <w:pPr>
        <w:ind w:left="720" w:hanging="720"/>
      </w:pPr>
      <w:r>
        <w:t xml:space="preserve">Tufty, L. M., Gallagher, V. T., Oddo, L., Vasko, J., Chronis-Tuscano, A., &amp; Meinzer, M. (2024). Academic accommodations and functioning in college students with attention-deficit/hyperactivity disorder: Limitations, barriers, and suggestions for collaborators. </w:t>
      </w:r>
      <w:r>
        <w:rPr>
          <w:i/>
        </w:rPr>
        <w:t>Journal of Postsecondary Education and Disability, 37</w:t>
      </w:r>
      <w:r>
        <w:t>(1), 35-46.</w:t>
      </w:r>
    </w:p>
    <w:p w14:paraId="289016B6" w14:textId="77777777" w:rsidR="0065088E" w:rsidRDefault="00207BA5">
      <w:pPr>
        <w:ind w:left="720" w:hanging="720"/>
      </w:pPr>
      <w:r>
        <w:t>U.S. Department of Education, Office for Civil Rights. (2011). Students with disabilities preparing for postsecondary education: Know your rights and responsibilities. https://www.ed.gov/higher-education/students-disabilities-preparing-postsecondary-education</w:t>
      </w:r>
    </w:p>
    <w:p w14:paraId="3AC41291" w14:textId="77777777" w:rsidR="0065088E" w:rsidRDefault="00207BA5">
      <w:pPr>
        <w:ind w:left="720" w:hanging="720"/>
      </w:pPr>
      <w:r>
        <w:lastRenderedPageBreak/>
        <w:t>U.S. Department of Education, Office for Civil Rights. (n.d.). Disability discrimination: Academic adjustments for postsecondary students. Retrieved August 28, 2026, from https://www.ed.gov/laws-and-policy/civil-rights-laws/disability-discrimination/disability-discrimination-key-issues/disability-discrimination-academic-adjustments-postsecondary-students</w:t>
      </w:r>
    </w:p>
    <w:p w14:paraId="0F092556" w14:textId="77777777" w:rsidR="0065088E" w:rsidRDefault="00207BA5">
      <w:pPr>
        <w:ind w:left="720" w:hanging="720"/>
      </w:pPr>
      <w:r>
        <w:t xml:space="preserve">Zhao, X., Chen, X., &amp; Cox, A. (2026). Exploring the affordances of generative AI in academic writing for students with disabilities: A bottom-up approach to inform GenAI policies. </w:t>
      </w:r>
      <w:r>
        <w:rPr>
          <w:i/>
        </w:rPr>
        <w:t>Policy Futures in Education, 24</w:t>
      </w:r>
      <w:r>
        <w:t>(1), 59-81. https://doi.org/10.1177/14782103251395436</w:t>
      </w:r>
    </w:p>
    <w:p w14:paraId="6CEA13DB" w14:textId="77777777" w:rsidR="0065088E" w:rsidRDefault="00207BA5">
      <w:pPr>
        <w:ind w:left="720" w:hanging="720"/>
      </w:pPr>
      <w:r>
        <w:t xml:space="preserve">Zhao, X., Cox, A., &amp; Chen, X. (2025). The use of generative AI by students with disabilities in higher education. </w:t>
      </w:r>
      <w:r>
        <w:rPr>
          <w:i/>
        </w:rPr>
        <w:t>The Internet and Higher Education, 66</w:t>
      </w:r>
      <w:r>
        <w:t>, Article 101014. https://doi.org/10.1016/j.iheduc.2025.101014</w:t>
      </w:r>
    </w:p>
    <w:p w14:paraId="6B089A90" w14:textId="77777777" w:rsidR="0065088E" w:rsidRDefault="00207BA5">
      <w:r>
        <w:br w:type="page"/>
      </w:r>
    </w:p>
    <w:p w14:paraId="441E76A1" w14:textId="77777777" w:rsidR="0065088E" w:rsidRDefault="00207BA5">
      <w:pPr>
        <w:pStyle w:val="Heading1"/>
      </w:pPr>
      <w:r>
        <w:lastRenderedPageBreak/>
        <w:t>Appendix A: Proposed Hub Prototype Modules</w:t>
      </w:r>
    </w:p>
    <w:tbl>
      <w:tblPr>
        <w:tblStyle w:val="TableGrid"/>
        <w:tblW w:w="0" w:type="auto"/>
        <w:jc w:val="center"/>
        <w:tblLook w:val="04A0" w:firstRow="1" w:lastRow="0" w:firstColumn="1" w:lastColumn="0" w:noHBand="0" w:noVBand="1"/>
      </w:tblPr>
      <w:tblGrid>
        <w:gridCol w:w="4675"/>
        <w:gridCol w:w="4675"/>
      </w:tblGrid>
      <w:tr w:rsidR="0065088E" w14:paraId="45BCFB15" w14:textId="77777777">
        <w:trPr>
          <w:jc w:val="center"/>
        </w:trPr>
        <w:tc>
          <w:tcPr>
            <w:tcW w:w="4680" w:type="dxa"/>
            <w:vAlign w:val="center"/>
          </w:tcPr>
          <w:p w14:paraId="5FB9E31E" w14:textId="77777777" w:rsidR="0065088E" w:rsidRDefault="00207BA5">
            <w:pPr>
              <w:spacing w:before="60" w:after="60" w:line="240" w:lineRule="auto"/>
            </w:pPr>
            <w:r>
              <w:rPr>
                <w:b/>
                <w:sz w:val="20"/>
              </w:rPr>
              <w:t>Module</w:t>
            </w:r>
          </w:p>
        </w:tc>
        <w:tc>
          <w:tcPr>
            <w:tcW w:w="4680" w:type="dxa"/>
            <w:vAlign w:val="center"/>
          </w:tcPr>
          <w:p w14:paraId="794ACD90" w14:textId="77777777" w:rsidR="0065088E" w:rsidRDefault="00207BA5">
            <w:pPr>
              <w:spacing w:before="60" w:after="60" w:line="240" w:lineRule="auto"/>
            </w:pPr>
            <w:r>
              <w:rPr>
                <w:b/>
                <w:sz w:val="20"/>
              </w:rPr>
              <w:t>Purpose</w:t>
            </w:r>
          </w:p>
        </w:tc>
      </w:tr>
      <w:tr w:rsidR="0065088E" w14:paraId="7C2AF72F" w14:textId="77777777">
        <w:trPr>
          <w:jc w:val="center"/>
        </w:trPr>
        <w:tc>
          <w:tcPr>
            <w:tcW w:w="4680" w:type="dxa"/>
            <w:vAlign w:val="center"/>
          </w:tcPr>
          <w:p w14:paraId="7DF93283" w14:textId="77777777" w:rsidR="0065088E" w:rsidRDefault="00207BA5">
            <w:pPr>
              <w:spacing w:before="60" w:after="60" w:line="240" w:lineRule="auto"/>
            </w:pPr>
            <w:r>
              <w:rPr>
                <w:sz w:val="20"/>
              </w:rPr>
              <w:t>1. Start Here</w:t>
            </w:r>
          </w:p>
        </w:tc>
        <w:tc>
          <w:tcPr>
            <w:tcW w:w="4680" w:type="dxa"/>
            <w:vAlign w:val="center"/>
          </w:tcPr>
          <w:p w14:paraId="5C13BC48" w14:textId="77777777" w:rsidR="0065088E" w:rsidRDefault="00207BA5">
            <w:pPr>
              <w:spacing w:before="60" w:after="60" w:line="240" w:lineRule="auto"/>
            </w:pPr>
            <w:r>
              <w:rPr>
                <w:sz w:val="20"/>
              </w:rPr>
              <w:t>Scope, privacy, role selection, and explanation of the secondary-to-postsecondary bridge.</w:t>
            </w:r>
          </w:p>
        </w:tc>
      </w:tr>
      <w:tr w:rsidR="0065088E" w14:paraId="4E53F6C9" w14:textId="77777777">
        <w:trPr>
          <w:jc w:val="center"/>
        </w:trPr>
        <w:tc>
          <w:tcPr>
            <w:tcW w:w="4680" w:type="dxa"/>
            <w:vAlign w:val="center"/>
          </w:tcPr>
          <w:p w14:paraId="1759CEE5" w14:textId="77777777" w:rsidR="0065088E" w:rsidRDefault="00207BA5">
            <w:pPr>
              <w:spacing w:before="60" w:after="60" w:line="240" w:lineRule="auto"/>
            </w:pPr>
            <w:r>
              <w:rPr>
                <w:sz w:val="20"/>
              </w:rPr>
              <w:t>2. Know Yourself as a Learner</w:t>
            </w:r>
          </w:p>
        </w:tc>
        <w:tc>
          <w:tcPr>
            <w:tcW w:w="4680" w:type="dxa"/>
            <w:vAlign w:val="center"/>
          </w:tcPr>
          <w:p w14:paraId="6B62F4BD" w14:textId="77777777" w:rsidR="0065088E" w:rsidRDefault="00207BA5">
            <w:pPr>
              <w:spacing w:before="60" w:after="60" w:line="240" w:lineRule="auto"/>
            </w:pPr>
            <w:r>
              <w:rPr>
                <w:sz w:val="20"/>
              </w:rPr>
              <w:t>Strengths, preferences, functional barriers, and supports that have helped.</w:t>
            </w:r>
          </w:p>
        </w:tc>
      </w:tr>
      <w:tr w:rsidR="0065088E" w14:paraId="2415397F" w14:textId="77777777">
        <w:trPr>
          <w:jc w:val="center"/>
        </w:trPr>
        <w:tc>
          <w:tcPr>
            <w:tcW w:w="4680" w:type="dxa"/>
            <w:vAlign w:val="center"/>
          </w:tcPr>
          <w:p w14:paraId="062F6E3D" w14:textId="77777777" w:rsidR="0065088E" w:rsidRDefault="00207BA5">
            <w:pPr>
              <w:spacing w:before="60" w:after="60" w:line="240" w:lineRule="auto"/>
            </w:pPr>
            <w:r>
              <w:rPr>
                <w:sz w:val="20"/>
              </w:rPr>
              <w:t>3. What Changes After High School</w:t>
            </w:r>
          </w:p>
        </w:tc>
        <w:tc>
          <w:tcPr>
            <w:tcW w:w="4680" w:type="dxa"/>
            <w:vAlign w:val="center"/>
          </w:tcPr>
          <w:p w14:paraId="64A4DF3E" w14:textId="77777777" w:rsidR="0065088E" w:rsidRDefault="00207BA5">
            <w:pPr>
              <w:spacing w:before="60" w:after="60" w:line="240" w:lineRule="auto"/>
            </w:pPr>
            <w:r>
              <w:rPr>
                <w:sz w:val="20"/>
              </w:rPr>
              <w:t>Plain-language explanation of the shift from school-based IDEA/IEP processes to postsecondary civil-rights and disability-services processes.</w:t>
            </w:r>
          </w:p>
        </w:tc>
      </w:tr>
      <w:tr w:rsidR="0065088E" w14:paraId="7D22797C" w14:textId="77777777">
        <w:trPr>
          <w:jc w:val="center"/>
        </w:trPr>
        <w:tc>
          <w:tcPr>
            <w:tcW w:w="4680" w:type="dxa"/>
            <w:vAlign w:val="center"/>
          </w:tcPr>
          <w:p w14:paraId="5D4B8D29" w14:textId="77777777" w:rsidR="0065088E" w:rsidRDefault="00207BA5">
            <w:pPr>
              <w:spacing w:before="60" w:after="60" w:line="240" w:lineRule="auto"/>
            </w:pPr>
            <w:r>
              <w:rPr>
                <w:sz w:val="20"/>
              </w:rPr>
              <w:t>4. Prepare to Self-Advocate</w:t>
            </w:r>
          </w:p>
        </w:tc>
        <w:tc>
          <w:tcPr>
            <w:tcW w:w="4680" w:type="dxa"/>
            <w:vAlign w:val="center"/>
          </w:tcPr>
          <w:p w14:paraId="3673376F" w14:textId="77777777" w:rsidR="0065088E" w:rsidRDefault="00207BA5">
            <w:pPr>
              <w:spacing w:before="60" w:after="60" w:line="240" w:lineRule="auto"/>
            </w:pPr>
            <w:r>
              <w:rPr>
                <w:sz w:val="20"/>
              </w:rPr>
              <w:t>Practice describing barriers, asking questions, explaining supports, and deciding what to disclose.</w:t>
            </w:r>
          </w:p>
        </w:tc>
      </w:tr>
      <w:tr w:rsidR="0065088E" w14:paraId="4AD0F594" w14:textId="77777777">
        <w:trPr>
          <w:jc w:val="center"/>
        </w:trPr>
        <w:tc>
          <w:tcPr>
            <w:tcW w:w="4680" w:type="dxa"/>
            <w:vAlign w:val="center"/>
          </w:tcPr>
          <w:p w14:paraId="2E9B73EC" w14:textId="77777777" w:rsidR="0065088E" w:rsidRDefault="00207BA5">
            <w:pPr>
              <w:spacing w:before="60" w:after="60" w:line="240" w:lineRule="auto"/>
            </w:pPr>
            <w:r>
              <w:rPr>
                <w:sz w:val="20"/>
              </w:rPr>
              <w:t>5. Find the Right Resource</w:t>
            </w:r>
          </w:p>
        </w:tc>
        <w:tc>
          <w:tcPr>
            <w:tcW w:w="4680" w:type="dxa"/>
            <w:vAlign w:val="center"/>
          </w:tcPr>
          <w:p w14:paraId="1CBAF18A" w14:textId="77777777" w:rsidR="0065088E" w:rsidRDefault="00207BA5">
            <w:pPr>
              <w:spacing w:before="60" w:after="60" w:line="240" w:lineRule="auto"/>
            </w:pPr>
            <w:r>
              <w:rPr>
                <w:sz w:val="20"/>
              </w:rPr>
              <w:t>Verified pathways to disability/accessibility services, advising, counseling, assistive technology, and other relevant supports.</w:t>
            </w:r>
          </w:p>
        </w:tc>
      </w:tr>
      <w:tr w:rsidR="0065088E" w14:paraId="33F8E781" w14:textId="77777777">
        <w:trPr>
          <w:jc w:val="center"/>
        </w:trPr>
        <w:tc>
          <w:tcPr>
            <w:tcW w:w="4680" w:type="dxa"/>
            <w:vAlign w:val="center"/>
          </w:tcPr>
          <w:p w14:paraId="4D69FC51" w14:textId="77777777" w:rsidR="0065088E" w:rsidRDefault="00207BA5">
            <w:pPr>
              <w:spacing w:before="60" w:after="60" w:line="240" w:lineRule="auto"/>
            </w:pPr>
            <w:r>
              <w:rPr>
                <w:sz w:val="20"/>
              </w:rPr>
              <w:t>6. Accommodation Navigation</w:t>
            </w:r>
          </w:p>
        </w:tc>
        <w:tc>
          <w:tcPr>
            <w:tcW w:w="4680" w:type="dxa"/>
            <w:vAlign w:val="center"/>
          </w:tcPr>
          <w:p w14:paraId="76018930" w14:textId="77777777" w:rsidR="0065088E" w:rsidRDefault="00207BA5">
            <w:pPr>
              <w:spacing w:before="60" w:after="60" w:line="240" w:lineRule="auto"/>
            </w:pPr>
            <w:r>
              <w:rPr>
                <w:sz w:val="20"/>
              </w:rPr>
              <w:t>Preparation for registration, documentation, activation/renewal, and course-specific implementation conversations.</w:t>
            </w:r>
          </w:p>
        </w:tc>
      </w:tr>
      <w:tr w:rsidR="0065088E" w14:paraId="27F54DBD" w14:textId="77777777">
        <w:trPr>
          <w:jc w:val="center"/>
        </w:trPr>
        <w:tc>
          <w:tcPr>
            <w:tcW w:w="4680" w:type="dxa"/>
            <w:vAlign w:val="center"/>
          </w:tcPr>
          <w:p w14:paraId="6ED61D72" w14:textId="77777777" w:rsidR="0065088E" w:rsidRDefault="00207BA5">
            <w:pPr>
              <w:spacing w:before="60" w:after="60" w:line="240" w:lineRule="auto"/>
            </w:pPr>
            <w:r>
              <w:rPr>
                <w:sz w:val="20"/>
              </w:rPr>
              <w:t>7. Living Access Review</w:t>
            </w:r>
          </w:p>
        </w:tc>
        <w:tc>
          <w:tcPr>
            <w:tcW w:w="4680" w:type="dxa"/>
            <w:vAlign w:val="center"/>
          </w:tcPr>
          <w:p w14:paraId="27349999" w14:textId="77777777" w:rsidR="0065088E" w:rsidRDefault="00207BA5">
            <w:pPr>
              <w:spacing w:before="60" w:after="60" w:line="240" w:lineRule="auto"/>
            </w:pPr>
            <w:r>
              <w:rPr>
                <w:sz w:val="20"/>
              </w:rPr>
              <w:t>Record whether a support was available, usable, helpful, or in need of follow-up as context changes.</w:t>
            </w:r>
          </w:p>
        </w:tc>
      </w:tr>
      <w:tr w:rsidR="0065088E" w14:paraId="04C301F9" w14:textId="77777777">
        <w:trPr>
          <w:jc w:val="center"/>
        </w:trPr>
        <w:tc>
          <w:tcPr>
            <w:tcW w:w="4680" w:type="dxa"/>
            <w:vAlign w:val="center"/>
          </w:tcPr>
          <w:p w14:paraId="08B40642" w14:textId="77777777" w:rsidR="0065088E" w:rsidRDefault="00207BA5">
            <w:pPr>
              <w:spacing w:before="60" w:after="60" w:line="240" w:lineRule="auto"/>
            </w:pPr>
            <w:r>
              <w:rPr>
                <w:sz w:val="20"/>
              </w:rPr>
              <w:t>8. Faculty/Communication Preparation</w:t>
            </w:r>
          </w:p>
        </w:tc>
        <w:tc>
          <w:tcPr>
            <w:tcW w:w="4680" w:type="dxa"/>
            <w:vAlign w:val="center"/>
          </w:tcPr>
          <w:p w14:paraId="7D60C719" w14:textId="77777777" w:rsidR="0065088E" w:rsidRDefault="00207BA5">
            <w:pPr>
              <w:spacing w:before="60" w:after="60" w:line="240" w:lineRule="auto"/>
            </w:pPr>
            <w:r>
              <w:rPr>
                <w:sz w:val="20"/>
              </w:rPr>
              <w:t>Editable question lists, meeting agendas, and draft messages controlled by the student.</w:t>
            </w:r>
          </w:p>
        </w:tc>
      </w:tr>
      <w:tr w:rsidR="0065088E" w14:paraId="4619B085" w14:textId="77777777">
        <w:trPr>
          <w:jc w:val="center"/>
        </w:trPr>
        <w:tc>
          <w:tcPr>
            <w:tcW w:w="4680" w:type="dxa"/>
            <w:vAlign w:val="center"/>
          </w:tcPr>
          <w:p w14:paraId="482F528C" w14:textId="77777777" w:rsidR="0065088E" w:rsidRDefault="00207BA5">
            <w:pPr>
              <w:spacing w:before="60" w:after="60" w:line="240" w:lineRule="auto"/>
            </w:pPr>
            <w:r>
              <w:rPr>
                <w:sz w:val="20"/>
              </w:rPr>
              <w:t>9. Assistive Technology and AI</w:t>
            </w:r>
          </w:p>
        </w:tc>
        <w:tc>
          <w:tcPr>
            <w:tcW w:w="4680" w:type="dxa"/>
            <w:vAlign w:val="center"/>
          </w:tcPr>
          <w:p w14:paraId="5A7E9B53" w14:textId="77777777" w:rsidR="0065088E" w:rsidRDefault="00207BA5">
            <w:pPr>
              <w:spacing w:before="60" w:after="60" w:line="240" w:lineRule="auto"/>
            </w:pPr>
            <w:r>
              <w:rPr>
                <w:sz w:val="20"/>
              </w:rPr>
              <w:t>Bounded support for organization, clarification, planning, and verified resource navigation with human oversight and transparent limits.</w:t>
            </w:r>
          </w:p>
        </w:tc>
      </w:tr>
      <w:tr w:rsidR="0065088E" w14:paraId="4128083B" w14:textId="77777777">
        <w:trPr>
          <w:jc w:val="center"/>
        </w:trPr>
        <w:tc>
          <w:tcPr>
            <w:tcW w:w="4680" w:type="dxa"/>
            <w:vAlign w:val="center"/>
          </w:tcPr>
          <w:p w14:paraId="6295B156" w14:textId="77777777" w:rsidR="0065088E" w:rsidRDefault="00207BA5">
            <w:pPr>
              <w:spacing w:before="60" w:after="60" w:line="240" w:lineRule="auto"/>
            </w:pPr>
            <w:r>
              <w:rPr>
                <w:sz w:val="20"/>
              </w:rPr>
              <w:t>10. Student-Controlled Export</w:t>
            </w:r>
          </w:p>
        </w:tc>
        <w:tc>
          <w:tcPr>
            <w:tcW w:w="4680" w:type="dxa"/>
            <w:vAlign w:val="center"/>
          </w:tcPr>
          <w:p w14:paraId="23C113F9" w14:textId="77777777" w:rsidR="0065088E" w:rsidRDefault="00207BA5">
            <w:pPr>
              <w:spacing w:before="60" w:after="60" w:line="240" w:lineRule="auto"/>
            </w:pPr>
            <w:r>
              <w:rPr>
                <w:sz w:val="20"/>
              </w:rPr>
              <w:t>Printable or local summary of selected information, next steps, and questions; no automatic institutional submission.</w:t>
            </w:r>
          </w:p>
        </w:tc>
      </w:tr>
    </w:tbl>
    <w:p w14:paraId="37D091EE" w14:textId="77777777" w:rsidR="00207BA5" w:rsidRDefault="00207BA5"/>
    <w:sectPr w:rsidR="00207BA5"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ACD85" w14:textId="77777777" w:rsidR="00207BA5" w:rsidRDefault="00207BA5">
      <w:pPr>
        <w:spacing w:line="240" w:lineRule="auto"/>
      </w:pPr>
      <w:r>
        <w:separator/>
      </w:r>
    </w:p>
  </w:endnote>
  <w:endnote w:type="continuationSeparator" w:id="0">
    <w:p w14:paraId="3B6C9C10" w14:textId="77777777" w:rsidR="00207BA5" w:rsidRDefault="00207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26519" w14:textId="77777777" w:rsidR="00CE3030" w:rsidRDefault="00CE30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5D45" w14:textId="77777777" w:rsidR="00CE3030" w:rsidRDefault="00CE30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87F2" w14:textId="77777777" w:rsidR="00CE3030" w:rsidRDefault="00CE3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07C9E" w14:textId="77777777" w:rsidR="00207BA5" w:rsidRDefault="00207BA5">
      <w:pPr>
        <w:spacing w:line="240" w:lineRule="auto"/>
      </w:pPr>
      <w:r>
        <w:separator/>
      </w:r>
    </w:p>
  </w:footnote>
  <w:footnote w:type="continuationSeparator" w:id="0">
    <w:p w14:paraId="695C569F" w14:textId="77777777" w:rsidR="00207BA5" w:rsidRDefault="00207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C796" w14:textId="77777777" w:rsidR="00CE3030" w:rsidRDefault="00CE30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D839" w14:textId="77777777" w:rsidR="0065088E" w:rsidRDefault="00207BA5">
    <w:pPr>
      <w:pStyle w:val="Header"/>
      <w:jc w:val="right"/>
    </w:pPr>
    <w:r>
      <w:fldChar w:fldCharType="begin"/>
    </w:r>
    <w:r>
      <w:instrText xml:space="preserve"> PAGE </w:instrText>
    </w:r>
    <w:r w:rsidR="00CE3030">
      <w:fldChar w:fldCharType="separate"/>
    </w:r>
    <w:r w:rsidR="00CE3030">
      <w:rPr>
        <w:noProof/>
      </w:rPr>
      <w:t>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0D37" w14:textId="77777777" w:rsidR="00CE3030" w:rsidRDefault="00CE30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0556525">
    <w:abstractNumId w:val="8"/>
  </w:num>
  <w:num w:numId="2" w16cid:durableId="2100369567">
    <w:abstractNumId w:val="6"/>
  </w:num>
  <w:num w:numId="3" w16cid:durableId="2115439703">
    <w:abstractNumId w:val="5"/>
  </w:num>
  <w:num w:numId="4" w16cid:durableId="1579094480">
    <w:abstractNumId w:val="4"/>
  </w:num>
  <w:num w:numId="5" w16cid:durableId="1412696887">
    <w:abstractNumId w:val="7"/>
  </w:num>
  <w:num w:numId="6" w16cid:durableId="1988246637">
    <w:abstractNumId w:val="3"/>
  </w:num>
  <w:num w:numId="7" w16cid:durableId="1657536843">
    <w:abstractNumId w:val="2"/>
  </w:num>
  <w:num w:numId="8" w16cid:durableId="56362655">
    <w:abstractNumId w:val="1"/>
  </w:num>
  <w:num w:numId="9" w16cid:durableId="80793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71AC"/>
    <w:rsid w:val="001F5C6D"/>
    <w:rsid w:val="00204508"/>
    <w:rsid w:val="00207BA5"/>
    <w:rsid w:val="0029639D"/>
    <w:rsid w:val="00326F90"/>
    <w:rsid w:val="005428A7"/>
    <w:rsid w:val="0065088E"/>
    <w:rsid w:val="007A297D"/>
    <w:rsid w:val="007B35DD"/>
    <w:rsid w:val="008007E2"/>
    <w:rsid w:val="00AA1D8D"/>
    <w:rsid w:val="00B03A56"/>
    <w:rsid w:val="00B47730"/>
    <w:rsid w:val="00B97D0E"/>
    <w:rsid w:val="00CB0664"/>
    <w:rsid w:val="00CE3030"/>
    <w:rsid w:val="00E630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906E51"/>
  <w14:defaultImageDpi w14:val="300"/>
  <w15:docId w15:val="{5C41B449-971A-413D-8F72-4A59EF0E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8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5241</Words>
  <Characters>29875</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FYCS Non-Thesis Project Proposal - Bridging the Accommodation Gap</vt:lpstr>
    </vt:vector>
  </TitlesOfParts>
  <Manager/>
  <Company/>
  <LinksUpToDate>false</LinksUpToDate>
  <CharactersWithSpaces>35046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FYCS Non-Thesis Project Proposal - Bridging the Accommodation Gap</dc:title>
  <dc:subject>University of Florida FYC 6901 Non-Thesis Project Proposal</dc:subject>
  <dc:creator>Eric S. Fishon</dc:creator>
  <cp:keywords/>
  <dc:description>generated by python-docx</dc:description>
  <cp:lastModifiedBy>Eric Fishon</cp:lastModifiedBy>
  <cp:revision>4</cp:revision>
  <dcterms:created xsi:type="dcterms:W3CDTF">2026-09-03T01:31:00Z</dcterms:created>
  <dcterms:modified xsi:type="dcterms:W3CDTF">2026-09-03T01:32:00Z</dcterms:modified>
  <cp:category/>
</cp:coreProperties>
</file>