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EA882" w14:textId="77777777" w:rsidR="00D5264B" w:rsidRDefault="008914ED">
      <w:pPr>
        <w:jc w:val="center"/>
      </w:pPr>
      <w:r>
        <w:rPr>
          <w:b/>
          <w:sz w:val="28"/>
        </w:rPr>
        <w:t>From Information to Access:</w:t>
      </w:r>
      <w:r>
        <w:rPr>
          <w:b/>
          <w:sz w:val="28"/>
        </w:rPr>
        <w:br/>
        <w:t>A Structured Resource and Gap Analysis for Students With Nonapparent Disabilities in Postsecondary Education</w:t>
      </w:r>
    </w:p>
    <w:p w14:paraId="6B634FCD" w14:textId="77777777" w:rsidR="00D5264B" w:rsidRDefault="008914ED">
      <w:pPr>
        <w:jc w:val="center"/>
      </w:pPr>
      <w:r>
        <w:t>Eric S. Fishon</w:t>
      </w:r>
      <w:r>
        <w:br/>
        <w:t>University of Florida</w:t>
      </w:r>
      <w:r>
        <w:br/>
        <w:t>Working Manuscript - Paper 2</w:t>
      </w:r>
      <w:r>
        <w:br/>
        <w:t>August 2026</w:t>
      </w:r>
    </w:p>
    <w:p w14:paraId="5BF95DBD" w14:textId="77777777" w:rsidR="00D5264B" w:rsidRDefault="008914ED">
      <w:r>
        <w:br w:type="page"/>
      </w:r>
    </w:p>
    <w:p w14:paraId="088DF5A7" w14:textId="77777777" w:rsidR="00D5264B" w:rsidRDefault="008914ED">
      <w:pPr>
        <w:pStyle w:val="Heading1"/>
      </w:pPr>
      <w:r>
        <w:lastRenderedPageBreak/>
        <w:t>Abstract</w:t>
      </w:r>
    </w:p>
    <w:p w14:paraId="4915C0EA" w14:textId="77777777" w:rsidR="00D5264B" w:rsidRDefault="008914ED">
      <w:r>
        <w:t>Paper 1 identifies a cluster of transition, self-advocacy, disclosure, navigation, and support-continuity needs affecting students with nonapparent disabilities in postsecondary education. Paper 2 asks the next question: what resources already address those needs, and where do meaningful gaps remain? This working manuscript uses a structured resource and gap analysis drawing on peer-reviewed evidence, authoritative federal guidance, professional transition resources, assistive-technology literature, Univers</w:t>
      </w:r>
      <w:r>
        <w:t>al Design scholarship, and mapped institutional accommodation processes. Preliminary synthesis indicates that the central problem is unlikely to be a simple absence of information. Federal guidance, disability-services offices, professional associations, transition resources, and assistive technologies already address many individual components of access. More plausible gaps concern fragmentation, context-sensitive navigation, the transfer from information to action, the continuity and implementation of app</w:t>
      </w:r>
      <w:r>
        <w:t>roved supports, and the cognitive accessibility of the processes students must navigate. Generative artificial intelligence may have bounded roles in organization, communication, and navigation, but the current evidence does not support autonomous diagnosis, eligibility decisions, or accommodation selection. These findings position technology as one possible delivery mechanism within a human-guided access process rather than as the solution itself.</w:t>
      </w:r>
    </w:p>
    <w:p w14:paraId="6296A227" w14:textId="77777777" w:rsidR="00D5264B" w:rsidRDefault="008914ED">
      <w:r>
        <w:t>Keywords: nonapparent disability; postsecondary education; accommodations; resource navigation; assistive technology; Universal Design; generative AI; gap analysis</w:t>
      </w:r>
    </w:p>
    <w:p w14:paraId="47D7A781" w14:textId="77777777" w:rsidR="00D5264B" w:rsidRDefault="008914ED">
      <w:pPr>
        <w:pStyle w:val="Heading1"/>
      </w:pPr>
      <w:r>
        <w:t>Introduction</w:t>
      </w:r>
    </w:p>
    <w:p w14:paraId="3741EAF0" w14:textId="77777777" w:rsidR="00D5264B" w:rsidRDefault="008914ED">
      <w:r>
        <w:t>The needs documented in Paper 1 do not occur in an empty service environment. Students entering postsecondary education encounter federal disability-rights guidance, campus disability-</w:t>
      </w:r>
      <w:r>
        <w:lastRenderedPageBreak/>
        <w:t>services offices, faculty procedures, advising and counseling systems, professional transition resources, assistive technologies, and an expanding ecosystem of digital tools. The existence of these resources is important because it changes the research question. A defensible gap analysis cannot begin by assuming that students lack resources or that a new application is needed. It must first establish what already exists, what functions those resources perform, how accessible and usable they are, and where e</w:t>
      </w:r>
      <w:r>
        <w:t>vidence suggests that students continue to encounter unmet needs.</w:t>
      </w:r>
    </w:p>
    <w:p w14:paraId="76DEC251" w14:textId="77777777" w:rsidR="00D5264B" w:rsidRDefault="008914ED">
      <w:r>
        <w:t>Recent research reinforces this distinction between resource presence and effective access. Assistive technology can support academic and psychosocial outcomes, but benefits depend on matching tools to student needs and on whether technology is actually available, usable, and supported in context (McNicholl et al., 2021, 2023). Likewise, academic accommodations may be formally approved while still creating implementation challenges, inconsistent use, or a need for additional coordination and adjustment (Bla</w:t>
      </w:r>
      <w:r>
        <w:t>sey et al., 2023; Edwards et al., 2022; Tufty et al., 2024). These findings suggest that a resource map should examine not only whether a support exists but also the path from awareness to access, implementation, and follow-up.</w:t>
      </w:r>
    </w:p>
    <w:p w14:paraId="5AD1820E" w14:textId="77777777" w:rsidR="00D5264B" w:rsidRDefault="008914ED">
      <w:r>
        <w:t>The purpose of Paper 2 is therefore to evaluate the current resource landscape around the needs established in Paper 1 and identify gaps that are sufficiently distinct, evidence-supported, and consequential to justify an applied response. The working review question is: What existing institutional, governmental, nonprofit, assistive-technology, and digital resources address the documented transition and access needs of students with nonapparent disabilities, and what meaningful gaps remain in navigation, ac</w:t>
      </w:r>
      <w:r>
        <w:t>cessibility, implementation, continuity, and human-guided technology support?</w:t>
      </w:r>
    </w:p>
    <w:p w14:paraId="32772AD4" w14:textId="77777777" w:rsidR="00D5264B" w:rsidRDefault="008914ED">
      <w:pPr>
        <w:pStyle w:val="Heading1"/>
      </w:pPr>
      <w:r>
        <w:lastRenderedPageBreak/>
        <w:t>Conceptual Position</w:t>
      </w:r>
    </w:p>
    <w:p w14:paraId="20B2D565" w14:textId="77777777" w:rsidR="00D5264B" w:rsidRDefault="008914ED">
      <w:r>
        <w:t xml:space="preserve">Paper 2 treats access as an interaction among the student, institution, and environment. Student-level capacity matters, but it operates within systems that can either reduce or amplify the amount of individual advocacy required. This framing prevents the analysis from interpreting every difficulty as a deficit in student readiness. A navigation problem may reflect limited systems knowledge, but it may also reflect fragmented information. An implementation problem may involve communication, but it may also </w:t>
      </w:r>
      <w:r>
        <w:t>reflect inconsistent faculty procedures or a lack of structured follow-up. A technology problem may involve tool selection, but it may also reflect inaccessible design, affordability, training, or weak integration with human support.</w:t>
      </w:r>
    </w:p>
    <w:p w14:paraId="07B13705" w14:textId="77777777" w:rsidR="00D5264B" w:rsidRDefault="008914ED">
      <w:r>
        <w:t>Universal Design is therefore treated as a cross-cutting criterion rather than a stand-alone intervention. Reviews of UDL in higher education support proactive design for learner variability, while student-perspective research emphasizes that accessibility should be evaluated through disabled students’ experiences rather than assumed from design intent alone (Cumming &amp; Rose, 2022; Li et al., 2026).</w:t>
      </w:r>
    </w:p>
    <w:p w14:paraId="34987E8D" w14:textId="77777777" w:rsidR="00D5264B" w:rsidRDefault="008914ED">
      <w:pPr>
        <w:pStyle w:val="Heading1"/>
      </w:pPr>
      <w:r>
        <w:t>Methods</w:t>
      </w:r>
    </w:p>
    <w:p w14:paraId="593BC8DA" w14:textId="77777777" w:rsidR="00D5264B" w:rsidRDefault="008914ED">
      <w:pPr>
        <w:pStyle w:val="Heading2"/>
      </w:pPr>
      <w:r>
        <w:t>Design</w:t>
      </w:r>
    </w:p>
    <w:p w14:paraId="65954708" w14:textId="77777777" w:rsidR="00D5264B" w:rsidRDefault="008914ED">
      <w:r>
        <w:t>This study uses a structured resource and gap analysis. It does not involve live human subjects. The analysis builds directly on the verified needs-assessment infrastructure developed for Paper 1 and compares documented needs with existing responses. Resource presence is not treated as proof of effectiveness, and the number of mapped resources is not treated as a measure of adequacy.</w:t>
      </w:r>
    </w:p>
    <w:p w14:paraId="2AD2F711" w14:textId="77777777" w:rsidR="00D5264B" w:rsidRDefault="008914ED">
      <w:pPr>
        <w:pStyle w:val="Heading2"/>
      </w:pPr>
      <w:r>
        <w:lastRenderedPageBreak/>
        <w:t>Resource Categories</w:t>
      </w:r>
    </w:p>
    <w:p w14:paraId="7A5D15FF" w14:textId="77777777" w:rsidR="00D5264B" w:rsidRDefault="008914ED">
      <w:r>
        <w:t>Resources are organized into five categories: (a) authoritative federal and institutional guidance; (b) transition and self-advocacy resources; (c) disability-services and accommodation processes; (d) assistive and educational technologies; and (e) emerging digital and generative-AI supports. For each resource, the analysis records intended user, purpose, accessibility characteristics, evidence base, cost or access barriers when known, degree of required human support, limitations, and the need or barrier a</w:t>
      </w:r>
      <w:r>
        <w:t>ddressed.</w:t>
      </w:r>
    </w:p>
    <w:p w14:paraId="6021DB22" w14:textId="77777777" w:rsidR="00D5264B" w:rsidRDefault="008914ED">
      <w:pPr>
        <w:pStyle w:val="Heading2"/>
      </w:pPr>
      <w:r>
        <w:t>Gap Analysis</w:t>
      </w:r>
    </w:p>
    <w:p w14:paraId="0DE09F2A" w14:textId="77777777" w:rsidR="00D5264B" w:rsidRDefault="008914ED">
      <w:r>
        <w:t>Candidate gaps are identified only when a documented need remains incompletely addressed after resource mapping. Working gap categories include fragmentation and navigation burden; limited context-sensitive translation from general information to student action; weak continuity across the transition; implementation and follow-up barriers; inaccessible or cognitively demanding information; affordability or technology-access barriers; privacy and transparency concerns; and insufficient student control. Each c</w:t>
      </w:r>
      <w:r>
        <w:t>andidate gap is evaluated for evidence strength, distinctiveness from existing resources, practical significance, accessibility and equity implications, ethical and privacy tractability, and relevance to an applied response.</w:t>
      </w:r>
    </w:p>
    <w:p w14:paraId="7D46D2BD" w14:textId="77777777" w:rsidR="00D5264B" w:rsidRDefault="008914ED">
      <w:pPr>
        <w:pStyle w:val="Heading1"/>
      </w:pPr>
      <w:r>
        <w:t>Preliminary Resource and Gap Synthesis</w:t>
      </w:r>
    </w:p>
    <w:p w14:paraId="210F9D9D" w14:textId="77777777" w:rsidR="00D5264B" w:rsidRDefault="008914ED">
      <w:pPr>
        <w:pStyle w:val="Heading2"/>
      </w:pPr>
      <w:r>
        <w:t>1. Information Exists, but Navigation Remains a Distinct Problem</w:t>
      </w:r>
    </w:p>
    <w:p w14:paraId="6F1E5ABC" w14:textId="77777777" w:rsidR="00D5264B" w:rsidRDefault="008914ED">
      <w:r>
        <w:t xml:space="preserve">Federal guidance and institutional disability-services resources provide substantial information about rights, academic adjustments, documentation, and postsecondary procedures. Professional organizations and transition resources likewise provide student-facing guidance about preparing </w:t>
      </w:r>
      <w:r>
        <w:lastRenderedPageBreak/>
        <w:t>for college. The preliminary resource map therefore does not support a broad claim that students lack information. A more defensible concern is that information is distributed across federal, professional, institutional, and course-specific sources, requiring students to determine which source applies to the immediate problem and what action should follow. This aligns with Paper 1 evidence showing uneven systems knowledge and substantial navigation demands (Cho &amp; Jones, 2024; Parsons et al., 2023).</w:t>
      </w:r>
    </w:p>
    <w:p w14:paraId="7A8BE22B" w14:textId="77777777" w:rsidR="00D5264B" w:rsidRDefault="008914ED">
      <w:pPr>
        <w:pStyle w:val="Heading2"/>
      </w:pPr>
      <w:r>
        <w:t>2. Transition Resources Often Explain Tasks More Clearly Than They Scaffold Action</w:t>
      </w:r>
    </w:p>
    <w:p w14:paraId="63707FD5" w14:textId="77777777" w:rsidR="00D5264B" w:rsidRDefault="008914ED">
      <w:r>
        <w:t>Existing transition materials can explain differences between secondary and postsecondary education and identify responsibilities students are expected to assume. The remaining question is whether a student can translate that information into action in a specific context: identify the current barrier, determine the appropriate contact, prepare a concise explanation, and recognize when additional human support is needed. This distinction is particularly important for students with nonapparent disabilities be</w:t>
      </w:r>
      <w:r>
        <w:t>cause disclosure is contextual and may be influenced by stigma, credibility concerns, and expectations about whether support will be useful (Kline &amp; Davidson, 2022; Melián &amp; Meneses, 2022).</w:t>
      </w:r>
    </w:p>
    <w:p w14:paraId="6DE50417" w14:textId="77777777" w:rsidR="00D5264B" w:rsidRDefault="008914ED">
      <w:pPr>
        <w:pStyle w:val="Heading2"/>
      </w:pPr>
      <w:r>
        <w:t>3. Accommodation Approval Does Not Resolve Implementation and Continuity</w:t>
      </w:r>
    </w:p>
    <w:p w14:paraId="05DACDE9" w14:textId="77777777" w:rsidR="00D5264B" w:rsidRDefault="008914ED">
      <w:r>
        <w:t>The strongest preliminary gap concerns the period after an accommodation or support has been approved. Longitudinal, mixed-methods, and condition-specific studies indicate that accommodation use varies and that implementation can require continuing coordination, communication, and adjustment (Blasey et al., 2023; Edwards et al., 2022; Tufty et al., 2024). Mapped institutional processes commonly include eligibility review, accommodation letters, semester renewal or activation, faculty communication, and prob</w:t>
      </w:r>
      <w:r>
        <w:t xml:space="preserve">lem escalation. These mechanisms are important and should not be characterized as absent. The more precise question </w:t>
      </w:r>
      <w:r>
        <w:lastRenderedPageBreak/>
        <w:t>is whether students have a portable, cognitively accessible way to reflect on whether a support was available, usable, and appropriate in the current context and to prepare for human follow-up when it was not.</w:t>
      </w:r>
    </w:p>
    <w:p w14:paraId="361A1852" w14:textId="77777777" w:rsidR="00D5264B" w:rsidRDefault="008914ED">
      <w:pPr>
        <w:pStyle w:val="Heading2"/>
      </w:pPr>
      <w:r>
        <w:t>4. Assistive Technology Is Most Useful When Need, Tool, Training, and Context Align</w:t>
      </w:r>
    </w:p>
    <w:p w14:paraId="2223CFDE" w14:textId="77777777" w:rsidR="00D5264B" w:rsidRDefault="008914ED">
      <w:r>
        <w:t>The assistive-technology literature provides a caution against technology-first design. McNicholl et al. (2021) found positive academic and psychosocial effects across portions of the higher-education AT literature, while McNicholl et al. (2023) reported differences associated with met versus unmet AT needs. These findings support technology as part of an access ecosystem but do not justify assuming that any specific tool will benefit every student. Resource selection, training, affordability, compatibility</w:t>
      </w:r>
      <w:r>
        <w:t>, and ongoing support remain relevant components of implementation.</w:t>
      </w:r>
    </w:p>
    <w:p w14:paraId="52EA3577" w14:textId="77777777" w:rsidR="00D5264B" w:rsidRDefault="008914ED">
      <w:pPr>
        <w:pStyle w:val="Heading2"/>
      </w:pPr>
      <w:r>
        <w:t>5. Universal Design Is a Requirement Across the Resource Landscape</w:t>
      </w:r>
    </w:p>
    <w:p w14:paraId="7E11EA72" w14:textId="77777777" w:rsidR="00D5264B" w:rsidRDefault="008914ED">
      <w:r>
        <w:t xml:space="preserve">UDL and accessibility should not be treated as an optional feature of a future product. They function as criteria for evaluating the entire resource landscape. Information that is technically available but cognitively difficult to navigate can still impose substantial access demands. Any applied response emerging from this analysis should therefore use clear structure, manageable information chunks, predictable navigation, multiple means of interaction where feasible, and meaningful user control (Cumming &amp; </w:t>
      </w:r>
      <w:r>
        <w:t>Rose, 2022; Li et al., 2026).</w:t>
      </w:r>
    </w:p>
    <w:p w14:paraId="105C1DEA" w14:textId="77777777" w:rsidR="00D5264B" w:rsidRDefault="008914ED">
      <w:pPr>
        <w:pStyle w:val="Heading2"/>
      </w:pPr>
      <w:r>
        <w:t>6. Generative AI Has Bounded Potential but Does Not Define the Gap</w:t>
      </w:r>
    </w:p>
    <w:p w14:paraId="38F44F48" w14:textId="77777777" w:rsidR="00D5264B" w:rsidRDefault="008914ED">
      <w:r>
        <w:t xml:space="preserve">Disabled students are already using generative AI for writing, reading, research, planning, and organization, while also reporting concerns about accuracy, academic integrity, cost, policy, accessibility, and the continuing need for human support (Pierrès et al., 2025; Zhao et al., 2025, </w:t>
      </w:r>
      <w:r>
        <w:lastRenderedPageBreak/>
        <w:t>2026). Coughlan and Iniesto (2025) further demonstrate that conversational technology can be incorporated into a disability-information process when capability boundaries and institutional integration are explicit. At the same time, critical disability scholarship warns that AI systems can reproduce ableist assumptions when they normalize particular forms of communication or performance (Foley &amp; Melese, 2025). The present evidence therefore supports bounded functions such as organizing student-entered infor</w:t>
      </w:r>
      <w:r>
        <w:t>mation, generating editable questions, rewriting information in clearer language, or assisting navigation to verified resources. It does not support autonomous diagnosis, accommodation prescription, legal interpretation, or treating inferred functional barriers as fact.</w:t>
      </w:r>
    </w:p>
    <w:p w14:paraId="0F925C9E" w14:textId="77777777" w:rsidR="00D5264B" w:rsidRDefault="008914ED">
      <w:pPr>
        <w:pStyle w:val="Heading1"/>
      </w:pPr>
      <w:r>
        <w:t>Working Gap Statement</w:t>
      </w:r>
    </w:p>
    <w:p w14:paraId="7CF7DC9B" w14:textId="77777777" w:rsidR="00D5264B" w:rsidRDefault="008914ED">
      <w:r>
        <w:t>The emerging gap is not simply the absence of disability information, transition guidance, accommodations, or technology. A more defensible working gap lies in the continuity between these resources: helping a student translate a current experience into an understandable description, navigate to the appropriate verified human process, implement an approved support, and review whether that support remains usable and appropriate as context changes. Existing systems address portions of this pathway, but the pr</w:t>
      </w:r>
      <w:r>
        <w:t>eliminary mapping suggests that the pathway is fragmented across student knowledge, institutional processes, individual technologies, and follow-up mechanisms.</w:t>
      </w:r>
    </w:p>
    <w:p w14:paraId="4BD723E3" w14:textId="77777777" w:rsidR="00D5264B" w:rsidRDefault="008914ED">
      <w:r>
        <w:t>This gap statement remains provisional until the resource map is closed and the advisor/coauthor team reviews the final scope. Paper 2 should not claim national absence of follow-up or universal failure of disability-services systems. The contribution is to identify where otherwise valuable resources may not yet function as one coherent, student-controlled access pathway.</w:t>
      </w:r>
    </w:p>
    <w:p w14:paraId="1788A5CA" w14:textId="77777777" w:rsidR="00D5264B" w:rsidRDefault="008914ED">
      <w:pPr>
        <w:pStyle w:val="Heading1"/>
      </w:pPr>
      <w:r>
        <w:lastRenderedPageBreak/>
        <w:t>Relationship to the Applied Framework</w:t>
      </w:r>
    </w:p>
    <w:p w14:paraId="704D068E" w14:textId="77777777" w:rsidR="00D5264B" w:rsidRDefault="008914ED">
      <w:r>
        <w:t>Paper 2 is designed to end before intervention claims begin. If the final gap analysis continues to support an articulation-to-implementation continuity problem, Paper 3 can specify an evidence-informed framework linking student-controlled articulation, self-advocacy preparation, human institutional decision-making, support implementation, review, and adjustment over time. A prototype or application can then demonstrate how selected functions might be translated into practice without being represented as ev</w:t>
      </w:r>
      <w:r>
        <w:t>idence of effectiveness.</w:t>
      </w:r>
    </w:p>
    <w:p w14:paraId="56015D10" w14:textId="77777777" w:rsidR="00D5264B" w:rsidRDefault="008914ED">
      <w:pPr>
        <w:pStyle w:val="Heading1"/>
      </w:pPr>
      <w:r>
        <w:t>Limitations</w:t>
      </w:r>
    </w:p>
    <w:p w14:paraId="0D5C02CF" w14:textId="77777777" w:rsidR="00D5264B" w:rsidRDefault="008914ED">
      <w:r>
        <w:t>The current resource map is structured and purposive rather than an exhaustive national inventory. Institutional examples demonstrate variation in practice but cannot establish prevalence across U.S. colleges and universities. Resource availability also changes over time, and web-based guidance may be updated independently of the peer-reviewed literature. Evidence about assistive technology and generative AI spans heterogeneous populations and use cases. Final claims will therefore distinguish resource pres</w:t>
      </w:r>
      <w:r>
        <w:t>ence from effectiveness, national guidance from local practice, empirical evidence from professional guidance, and demonstrated needs from proposed design responses.</w:t>
      </w:r>
    </w:p>
    <w:p w14:paraId="1DE48A6E" w14:textId="77777777" w:rsidR="00D5264B" w:rsidRDefault="008914ED">
      <w:pPr>
        <w:pStyle w:val="Heading1"/>
      </w:pPr>
      <w:r>
        <w:t>Conclusion</w:t>
      </w:r>
    </w:p>
    <w:p w14:paraId="639F5F85" w14:textId="77777777" w:rsidR="00D5264B" w:rsidRDefault="008914ED">
      <w:r>
        <w:t xml:space="preserve">Paper 2 extends the needs assessment by asking whether existing systems and technologies form a coherent pathway from recognized need to actual access. The preliminary analysis suggests that substantial resources already exist, making duplication a central design risk. The more promising contribution is to identify where students still bear a heavy coordination burden across </w:t>
      </w:r>
      <w:r>
        <w:lastRenderedPageBreak/>
        <w:t>information, disclosure, navigation, accommodation implementation, technology use, and follow-up. Any applied response should therefore complement existing disability-services systems, preserve human authority, reduce rather than add cognitive burden, and be justified by a verified gap rather than by the availability of new technology.</w:t>
      </w:r>
    </w:p>
    <w:p w14:paraId="74206F0B" w14:textId="77777777" w:rsidR="00D5264B" w:rsidRDefault="008914ED">
      <w:pPr>
        <w:pStyle w:val="Heading1"/>
      </w:pPr>
      <w:r>
        <w:t>Working References</w:t>
      </w:r>
    </w:p>
    <w:p w14:paraId="1B50F142" w14:textId="77777777" w:rsidR="00D5264B" w:rsidRDefault="008914ED">
      <w:pPr>
        <w:ind w:left="720" w:hanging="720"/>
      </w:pPr>
      <w:r>
        <w:t>Blasey, J., Wang, C., &amp; Blasey, R. (2023). Accommodation use and academic outcomes for college students with disabilities. Psychological Reports, 126(4), 1891–1909. https://doi.org/10.1177/00332941221078011</w:t>
      </w:r>
    </w:p>
    <w:p w14:paraId="0B4438FC" w14:textId="77777777" w:rsidR="00D5264B" w:rsidRDefault="008914ED">
      <w:pPr>
        <w:ind w:left="720" w:hanging="720"/>
      </w:pPr>
      <w:r>
        <w:t>Cho, J. I., &amp; Jones, K. (2024). How do college students with disabilities do? Law, self-determination, self-advocacy, and campus resources. Journal of the Scholarship of Teaching and Learning, 24(3), 68–86. https://doi.org/10.14434/josotl.v24i3.35703</w:t>
      </w:r>
    </w:p>
    <w:p w14:paraId="534AE460" w14:textId="77777777" w:rsidR="00D5264B" w:rsidRDefault="008914ED">
      <w:pPr>
        <w:ind w:left="720" w:hanging="720"/>
      </w:pPr>
      <w:r>
        <w:t>Coughlan, T., &amp; Iniesto, F. (2025). What should I know? Analysing behaviour and feedback from student use of a virtual assistant to share information about disabilities. The Internet and Higher Education, 66, Article 101002. https://doi.org/10.1016/j.iheduc.2025.101002</w:t>
      </w:r>
    </w:p>
    <w:p w14:paraId="7B2825FE" w14:textId="77777777" w:rsidR="00D5264B" w:rsidRDefault="008914ED">
      <w:pPr>
        <w:ind w:left="720" w:hanging="720"/>
      </w:pPr>
      <w:r>
        <w:t>Cumming, T. M., &amp; Rose, M. C. (2022). Exploring universal design for learning as an accessibility tool in higher education: A review of the current literature. The Australian Educational Researcher, 49(5), 1025–1043. https://doi.org/10.1007/s13384-021-00471-7</w:t>
      </w:r>
    </w:p>
    <w:p w14:paraId="4E46696C" w14:textId="77777777" w:rsidR="00D5264B" w:rsidRDefault="008914ED">
      <w:pPr>
        <w:ind w:left="720" w:hanging="720"/>
      </w:pPr>
      <w:r>
        <w:t>Edwards, M., Poed, S., Al-Nawab, H., &amp; Penna, O. (2022). Academic accommodations for university students living with disability and the potential of universal design to address their needs. Higher Education, 84(4), 779–799. https://doi.org/10.1007/s10734-021-00800-w</w:t>
      </w:r>
    </w:p>
    <w:p w14:paraId="7E4740A7" w14:textId="77777777" w:rsidR="00D5264B" w:rsidRDefault="008914ED">
      <w:pPr>
        <w:ind w:left="720" w:hanging="720"/>
      </w:pPr>
      <w:r>
        <w:lastRenderedPageBreak/>
        <w:t>Foley, A., &amp; Melese, F. (2025). Disabling AI: Power, exclusion, and disability. British Journal of Sociology of Education. Advance online publication. https://doi.org/10.1080/01425692.2025.2519482</w:t>
      </w:r>
    </w:p>
    <w:p w14:paraId="0E884081" w14:textId="77777777" w:rsidR="00D5264B" w:rsidRDefault="008914ED">
      <w:pPr>
        <w:ind w:left="720" w:hanging="720"/>
      </w:pPr>
      <w:r>
        <w:t>Kline, B., &amp; Davidson, D. L. (2022). College students with invisible illnesses and disabilities: Disclosure, hiding, and support. College Student Affairs Journal, 40(3), 121–135. https://doi.org/10.1353/csj.2022.0030</w:t>
      </w:r>
    </w:p>
    <w:p w14:paraId="1C1F55D4" w14:textId="77777777" w:rsidR="00D5264B" w:rsidRDefault="008914ED">
      <w:pPr>
        <w:ind w:left="720" w:hanging="720"/>
      </w:pPr>
      <w:r>
        <w:t>Li, Y.-F., Zhang, D., Dulas, H. M., &amp; Whirley, M. L. (2026). Universal Design for Learning: Exploring perspectives of students with disabilities in higher education. International Journal of Disability, Development and Education, 73(5), 913–928. https://doi.org/10.1080/1034912X.2025.2605018</w:t>
      </w:r>
    </w:p>
    <w:p w14:paraId="792C6BFF" w14:textId="77777777" w:rsidR="00D5264B" w:rsidRDefault="008914ED">
      <w:pPr>
        <w:ind w:left="720" w:hanging="720"/>
      </w:pPr>
      <w:r>
        <w:t>McNicholl, A., Casey, H., Desmond, D., &amp; Gallagher, P. (2021). The impact of assistive technology use for students with disabilities in higher education: A systematic review. Disability and Rehabilitation: Assistive Technology, 16(2), 130–143. https://doi.org/10.1080/17483107.2019.1642395</w:t>
      </w:r>
    </w:p>
    <w:p w14:paraId="38380881" w14:textId="77777777" w:rsidR="00D5264B" w:rsidRDefault="008914ED">
      <w:pPr>
        <w:ind w:left="720" w:hanging="720"/>
      </w:pPr>
      <w:r>
        <w:t>McNicholl, A., Desmond, D., &amp; Gallagher, P. (2023). Assistive technologies, educational engagement and psychosocial outcomes among students with disabilities in higher education. Disability and Rehabilitation: Assistive Technology, 18(1), 50–58. https://doi.org/10.1080/17483107.2020.1854874</w:t>
      </w:r>
    </w:p>
    <w:p w14:paraId="58AB01DF" w14:textId="77777777" w:rsidR="00D5264B" w:rsidRDefault="008914ED">
      <w:pPr>
        <w:ind w:left="720" w:hanging="720"/>
      </w:pPr>
      <w:r>
        <w:t>Melián, E., &amp; Meneses, J. (2022). Getting ahead in the online university: Disclosure experiences of students with apparent and hidden disabilities. International Journal of Educational Research, 114, Article 101991. https://doi.org/10.1016/j.ijer.2022.101991</w:t>
      </w:r>
    </w:p>
    <w:p w14:paraId="3373AD04" w14:textId="77777777" w:rsidR="00D5264B" w:rsidRDefault="008914ED">
      <w:pPr>
        <w:ind w:left="720" w:hanging="720"/>
      </w:pPr>
      <w:r>
        <w:lastRenderedPageBreak/>
        <w:t>Parsons, J. M., McColl, M. A., Martin, A., &amp; Reynard, D. (2023). Transition and accommodation experiences of students with disabilities: A qualitative study. Journal of Postsecondary Education and Disability, 36(2), 179–192.</w:t>
      </w:r>
    </w:p>
    <w:p w14:paraId="77C14698" w14:textId="77777777" w:rsidR="00D5264B" w:rsidRDefault="008914ED">
      <w:pPr>
        <w:ind w:left="720" w:hanging="720"/>
      </w:pPr>
      <w:r>
        <w:t>Pierrès, O., Darvishy, A., &amp; Christen, M. (2025). Exploring the role of generative AI in higher education: Semi-structured interviews with students with disabilities. Education and Information Technologies, 30(7), 8923–8952. https://doi.org/10.1007/s10639-024-13134-8</w:t>
      </w:r>
    </w:p>
    <w:p w14:paraId="4CBE34BF" w14:textId="77777777" w:rsidR="00D5264B" w:rsidRDefault="008914ED">
      <w:pPr>
        <w:ind w:left="720" w:hanging="720"/>
      </w:pPr>
      <w:r>
        <w:t>Tufty, L. M., Gallagher, V. T., Oddo, L., Vasko, J., Chronis-Tuscano, A., &amp; Meinzer, M. (2024). Academic accommodations and functioning in college students with attention-deficit/hyperactivity disorder: Limitations, barriers, and suggestions for collaborators. Journal of Postsecondary Education and Disability, 37(1), 35–46.</w:t>
      </w:r>
    </w:p>
    <w:p w14:paraId="37FA6339" w14:textId="77777777" w:rsidR="00D5264B" w:rsidRDefault="008914ED">
      <w:pPr>
        <w:ind w:left="720" w:hanging="720"/>
      </w:pPr>
      <w:r>
        <w:t>Zhao, X., Chen, X., &amp; Cox, A. (2026). Exploring the affordances of generative AI in academic writing for students with disabilities: A bottom-up approach to inform GenAI policies. Policy Futures in Education, 24(1), 59–81. https://doi.org/10.1177/14782103251395436</w:t>
      </w:r>
    </w:p>
    <w:p w14:paraId="1BBD4166" w14:textId="77777777" w:rsidR="00D5264B" w:rsidRDefault="008914ED">
      <w:pPr>
        <w:ind w:left="720" w:hanging="720"/>
      </w:pPr>
      <w:r>
        <w:t>Zhao, X., Cox, A., &amp; Chen, X. (2025). The use of generative AI by students with disabilities in higher education. The Internet and Higher Education, 66, Article 101014. https://doi.org/10.1016/j.iheduc.2025.101014</w:t>
      </w:r>
    </w:p>
    <w:sectPr w:rsidR="00D5264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3582199">
    <w:abstractNumId w:val="8"/>
  </w:num>
  <w:num w:numId="2" w16cid:durableId="957486870">
    <w:abstractNumId w:val="6"/>
  </w:num>
  <w:num w:numId="3" w16cid:durableId="1386294569">
    <w:abstractNumId w:val="5"/>
  </w:num>
  <w:num w:numId="4" w16cid:durableId="706832328">
    <w:abstractNumId w:val="4"/>
  </w:num>
  <w:num w:numId="5" w16cid:durableId="717975608">
    <w:abstractNumId w:val="7"/>
  </w:num>
  <w:num w:numId="6" w16cid:durableId="440807466">
    <w:abstractNumId w:val="3"/>
  </w:num>
  <w:num w:numId="7" w16cid:durableId="1570774187">
    <w:abstractNumId w:val="2"/>
  </w:num>
  <w:num w:numId="8" w16cid:durableId="1619071538">
    <w:abstractNumId w:val="1"/>
  </w:num>
  <w:num w:numId="9" w16cid:durableId="418335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21D8D"/>
    <w:rsid w:val="008914ED"/>
    <w:rsid w:val="00942982"/>
    <w:rsid w:val="00AA1D8D"/>
    <w:rsid w:val="00B47730"/>
    <w:rsid w:val="00CB0664"/>
    <w:rsid w:val="00D526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E411F28-8801-47B5-A2AA-6187BB018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48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2838</Words>
  <Characters>16179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Eric Fishon</cp:lastModifiedBy>
  <cp:revision>2</cp:revision>
  <dcterms:created xsi:type="dcterms:W3CDTF">2026-09-15T03:08:00Z</dcterms:created>
  <dcterms:modified xsi:type="dcterms:W3CDTF">2026-09-15T03:08:00Z</dcterms:modified>
  <cp:category/>
</cp:coreProperties>
</file>