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b/>
          <w:color w:val="1F6FEB"/>
          <w:sz w:val="18"/>
        </w:rPr>
        <w:t>UNIVERSITY OF FLORIDA  |  FYCS NON-THESIS PROJECT</w:t>
      </w:r>
    </w:p>
    <w:p>
      <w:pPr>
        <w:spacing w:after="80"/>
        <w:jc w:val="center"/>
      </w:pPr>
      <w:r>
        <w:rPr>
          <w:rFonts w:ascii="Aptos Display" w:hAnsi="Aptos Display"/>
          <w:b/>
          <w:color w:val="152238"/>
          <w:sz w:val="56"/>
        </w:rPr>
        <w:t>Project Command Center</w:t>
      </w:r>
    </w:p>
    <w:p>
      <w:pPr>
        <w:spacing w:after="200"/>
        <w:jc w:val="center"/>
      </w:pPr>
      <w:r>
        <w:rPr>
          <w:color w:val="5B6573"/>
          <w:sz w:val="24"/>
        </w:rPr>
        <w:t>Bridging the Accommodation Gap: Research → Publication → Applied Technology</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2592"/>
        <w:gridCol w:w="2592"/>
        <w:gridCol w:w="2592"/>
        <w:gridCol w:w="2592"/>
      </w:tblGrid>
      <w:tr>
        <w:tc>
          <w:tcPr>
            <w:tcW w:type="dxa" w:w="2592"/>
            <w:shd w:fill="F5F8FC"/>
            <w:tcMar>
              <w:top w:w="140" w:type="dxa"/>
              <w:start w:w="150" w:type="dxa"/>
              <w:bottom w:w="140" w:type="dxa"/>
              <w:end w:w="150" w:type="dxa"/>
            </w:tcMar>
          </w:tcPr>
          <w:p>
            <w:pPr>
              <w:jc w:val="center"/>
            </w:pPr>
            <w:r>
              <w:rPr>
                <w:b/>
                <w:color w:val="1F6FEB"/>
                <w:sz w:val="18"/>
              </w:rPr>
              <w:t>PROJECT PHASE</w:t>
            </w:r>
          </w:p>
          <w:p>
            <w:pPr>
              <w:spacing w:after="40"/>
              <w:jc w:val="center"/>
            </w:pPr>
            <w:r>
              <w:rPr>
                <w:b/>
                <w:color w:val="152238"/>
                <w:sz w:val="36"/>
              </w:rPr>
              <w:t>BUILD</w:t>
            </w:r>
          </w:p>
          <w:p>
            <w:pPr>
              <w:jc w:val="center"/>
            </w:pPr>
            <w:r>
              <w:rPr>
                <w:color w:val="5B6573"/>
                <w:sz w:val="16"/>
              </w:rPr>
              <w:t>Fall 2026</w:t>
            </w:r>
          </w:p>
        </w:tc>
        <w:tc>
          <w:tcPr>
            <w:tcW w:type="dxa" w:w="2592"/>
            <w:shd w:fill="F5F8FC"/>
            <w:tcMar>
              <w:top w:w="140" w:type="dxa"/>
              <w:start w:w="150" w:type="dxa"/>
              <w:bottom w:w="140" w:type="dxa"/>
              <w:end w:w="150" w:type="dxa"/>
            </w:tcMar>
          </w:tcPr>
          <w:p>
            <w:pPr>
              <w:jc w:val="center"/>
            </w:pPr>
            <w:r>
              <w:rPr>
                <w:b/>
                <w:color w:val="7C3AED"/>
                <w:sz w:val="18"/>
              </w:rPr>
              <w:t>SCHOLARLY OUTPUTS</w:t>
            </w:r>
          </w:p>
          <w:p>
            <w:pPr>
              <w:spacing w:after="40"/>
              <w:jc w:val="center"/>
            </w:pPr>
            <w:r>
              <w:rPr>
                <w:b/>
                <w:color w:val="152238"/>
                <w:sz w:val="36"/>
              </w:rPr>
              <w:t>3 + 1</w:t>
            </w:r>
          </w:p>
          <w:p>
            <w:pPr>
              <w:jc w:val="center"/>
            </w:pPr>
            <w:r>
              <w:rPr>
                <w:color w:val="5B6573"/>
                <w:sz w:val="16"/>
              </w:rPr>
              <w:t>3 papers + EDIS</w:t>
            </w:r>
          </w:p>
        </w:tc>
        <w:tc>
          <w:tcPr>
            <w:tcW w:type="dxa" w:w="2592"/>
            <w:shd w:fill="F5F8FC"/>
            <w:tcMar>
              <w:top w:w="140" w:type="dxa"/>
              <w:start w:w="150" w:type="dxa"/>
              <w:bottom w:w="140" w:type="dxa"/>
              <w:end w:w="150" w:type="dxa"/>
            </w:tcMar>
          </w:tcPr>
          <w:p>
            <w:pPr>
              <w:jc w:val="center"/>
            </w:pPr>
            <w:r>
              <w:rPr>
                <w:b/>
                <w:color w:val="0F9D75"/>
                <w:sz w:val="18"/>
              </w:rPr>
              <w:t>APPLIED PRODUCT</w:t>
            </w:r>
          </w:p>
          <w:p>
            <w:pPr>
              <w:spacing w:after="40"/>
              <w:jc w:val="center"/>
            </w:pPr>
            <w:r>
              <w:rPr>
                <w:b/>
                <w:color w:val="152238"/>
                <w:sz w:val="36"/>
              </w:rPr>
              <w:t>1</w:t>
            </w:r>
          </w:p>
          <w:p>
            <w:pPr>
              <w:jc w:val="center"/>
            </w:pPr>
            <w:r>
              <w:rPr>
                <w:color w:val="5B6573"/>
                <w:sz w:val="16"/>
              </w:rPr>
              <w:t>Access &amp; Transition Hub</w:t>
            </w:r>
          </w:p>
        </w:tc>
        <w:tc>
          <w:tcPr>
            <w:tcW w:type="dxa" w:w="2592"/>
            <w:shd w:fill="F5F8FC"/>
            <w:tcMar>
              <w:top w:w="140" w:type="dxa"/>
              <w:start w:w="150" w:type="dxa"/>
              <w:bottom w:w="140" w:type="dxa"/>
              <w:end w:w="150" w:type="dxa"/>
            </w:tcMar>
          </w:tcPr>
          <w:p>
            <w:pPr>
              <w:jc w:val="center"/>
            </w:pPr>
            <w:r>
              <w:rPr>
                <w:b/>
                <w:color w:val="E67E22"/>
                <w:sz w:val="18"/>
              </w:rPr>
              <w:t>FINAL DEFENSE</w:t>
            </w:r>
          </w:p>
          <w:p>
            <w:pPr>
              <w:spacing w:after="40"/>
              <w:jc w:val="center"/>
            </w:pPr>
            <w:r>
              <w:rPr>
                <w:b/>
                <w:color w:val="152238"/>
                <w:sz w:val="36"/>
              </w:rPr>
              <w:t>SPR 27</w:t>
            </w:r>
          </w:p>
          <w:p>
            <w:pPr>
              <w:jc w:val="center"/>
            </w:pPr>
            <w:r>
              <w:rPr>
                <w:color w:val="5B6573"/>
                <w:sz w:val="16"/>
              </w:rPr>
              <w:t>FYC 6912</w:t>
            </w:r>
          </w:p>
        </w:tc>
      </w:tr>
    </w:tbl>
    <w:p>
      <w:pPr>
        <w:pStyle w:val="Heading1"/>
      </w:pPr>
      <w:r>
        <w:t>Executive Snapshot</w:t>
      </w:r>
    </w:p>
    <w:p>
      <w:r>
        <w:t>The project is now a coherent research-to-practice sequence rather than a single paper. Paper 1 establishes the transition and access needs; Paper 2 tests the existing resource landscape and identifies residual gaps; Paper 3 will convert verified gaps into a bounded student-centered framework and technology demonstration. The EDIS manuscript translates the research for families and practitioners.</w:t>
      </w:r>
    </w:p>
    <w:p>
      <w:pPr>
        <w:spacing w:before="60" w:after="80"/>
      </w:pPr>
      <w:r>
        <w:rPr>
          <w:rFonts w:ascii="Aptos" w:hAnsi="Aptos"/>
          <w:b/>
          <w:color w:val="1F6FEB"/>
          <w:sz w:val="16"/>
        </w:rPr>
        <w:t>RESEARCH-TO-PRACTICE ARCHITECTURE</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481"/>
        <w:gridCol w:w="1481"/>
        <w:gridCol w:w="1481"/>
        <w:gridCol w:w="1481"/>
        <w:gridCol w:w="1481"/>
        <w:gridCol w:w="1481"/>
        <w:gridCol w:w="1481"/>
      </w:tblGrid>
      <w:tr>
        <w:tc>
          <w:tcPr>
            <w:tcW w:type="dxa" w:w="1481"/>
            <w:shd w:fill="DCEBFA"/>
            <w:tcMar>
              <w:top w:w="120" w:type="dxa"/>
              <w:start w:w="80" w:type="dxa"/>
              <w:bottom w:w="120" w:type="dxa"/>
              <w:end w:w="80" w:type="dxa"/>
            </w:tcMar>
          </w:tcPr>
          <w:p>
            <w:pPr>
              <w:jc w:val="center"/>
            </w:pPr>
            <w:r>
              <w:rPr>
                <w:b/>
                <w:color w:val="152238"/>
                <w:sz w:val="18"/>
              </w:rPr>
              <w:t>PAPER 1</w:t>
            </w:r>
          </w:p>
          <w:p>
            <w:pPr>
              <w:jc w:val="center"/>
            </w:pPr>
            <w:r>
              <w:rPr>
                <w:color w:val="5B6573"/>
                <w:sz w:val="16"/>
              </w:rPr>
              <w:t>Needs</w:t>
            </w:r>
          </w:p>
        </w:tc>
        <w:tc>
          <w:tcPr>
            <w:tcW w:type="dxa" w:w="1481"/>
            <w:shd w:fill="FFFFFF"/>
            <w:tcMar>
              <w:top w:w="120" w:type="dxa"/>
              <w:start w:w="80" w:type="dxa"/>
              <w:bottom w:w="120" w:type="dxa"/>
              <w:end w:w="80" w:type="dxa"/>
            </w:tcMar>
          </w:tcPr>
          <w:p>
            <w:pPr>
              <w:jc w:val="center"/>
            </w:pPr>
            <w:r>
              <w:rPr>
                <w:b/>
                <w:color w:val="152238"/>
                <w:sz w:val="18"/>
              </w:rPr>
              <w:t>→</w:t>
            </w:r>
          </w:p>
        </w:tc>
        <w:tc>
          <w:tcPr>
            <w:tcW w:type="dxa" w:w="1481"/>
            <w:shd w:fill="E8E0F8"/>
            <w:tcMar>
              <w:top w:w="120" w:type="dxa"/>
              <w:start w:w="80" w:type="dxa"/>
              <w:bottom w:w="120" w:type="dxa"/>
              <w:end w:w="80" w:type="dxa"/>
            </w:tcMar>
          </w:tcPr>
          <w:p>
            <w:pPr>
              <w:jc w:val="center"/>
            </w:pPr>
            <w:r>
              <w:rPr>
                <w:b/>
                <w:color w:val="152238"/>
                <w:sz w:val="18"/>
              </w:rPr>
              <w:t>PAPER 2</w:t>
            </w:r>
          </w:p>
          <w:p>
            <w:pPr>
              <w:jc w:val="center"/>
            </w:pPr>
            <w:r>
              <w:rPr>
                <w:color w:val="5B6573"/>
                <w:sz w:val="16"/>
              </w:rPr>
              <w:t>Gaps</w:t>
            </w:r>
          </w:p>
        </w:tc>
        <w:tc>
          <w:tcPr>
            <w:tcW w:type="dxa" w:w="1481"/>
            <w:shd w:fill="FFFFFF"/>
            <w:tcMar>
              <w:top w:w="120" w:type="dxa"/>
              <w:start w:w="80" w:type="dxa"/>
              <w:bottom w:w="120" w:type="dxa"/>
              <w:end w:w="80" w:type="dxa"/>
            </w:tcMar>
          </w:tcPr>
          <w:p>
            <w:pPr>
              <w:jc w:val="center"/>
            </w:pPr>
            <w:r>
              <w:rPr>
                <w:b/>
                <w:color w:val="152238"/>
                <w:sz w:val="18"/>
              </w:rPr>
              <w:t>→</w:t>
            </w:r>
          </w:p>
        </w:tc>
        <w:tc>
          <w:tcPr>
            <w:tcW w:type="dxa" w:w="1481"/>
            <w:shd w:fill="DDF3EA"/>
            <w:tcMar>
              <w:top w:w="120" w:type="dxa"/>
              <w:start w:w="80" w:type="dxa"/>
              <w:bottom w:w="120" w:type="dxa"/>
              <w:end w:w="80" w:type="dxa"/>
            </w:tcMar>
          </w:tcPr>
          <w:p>
            <w:pPr>
              <w:jc w:val="center"/>
            </w:pPr>
            <w:r>
              <w:rPr>
                <w:b/>
                <w:color w:val="152238"/>
                <w:sz w:val="18"/>
              </w:rPr>
              <w:t>PAPER 3</w:t>
            </w:r>
          </w:p>
          <w:p>
            <w:pPr>
              <w:jc w:val="center"/>
            </w:pPr>
            <w:r>
              <w:rPr>
                <w:color w:val="5B6573"/>
                <w:sz w:val="16"/>
              </w:rPr>
              <w:t>Response</w:t>
            </w:r>
          </w:p>
        </w:tc>
        <w:tc>
          <w:tcPr>
            <w:tcW w:type="dxa" w:w="1481"/>
            <w:shd w:fill="FFFFFF"/>
            <w:tcMar>
              <w:top w:w="120" w:type="dxa"/>
              <w:start w:w="80" w:type="dxa"/>
              <w:bottom w:w="120" w:type="dxa"/>
              <w:end w:w="80" w:type="dxa"/>
            </w:tcMar>
          </w:tcPr>
          <w:p>
            <w:pPr>
              <w:jc w:val="center"/>
            </w:pPr>
            <w:r>
              <w:rPr>
                <w:b/>
                <w:color w:val="152238"/>
                <w:sz w:val="18"/>
              </w:rPr>
              <w:t>→</w:t>
            </w:r>
          </w:p>
        </w:tc>
        <w:tc>
          <w:tcPr>
            <w:tcW w:type="dxa" w:w="1481"/>
            <w:shd w:fill="FDE9D2"/>
            <w:tcMar>
              <w:top w:w="120" w:type="dxa"/>
              <w:start w:w="80" w:type="dxa"/>
              <w:bottom w:w="120" w:type="dxa"/>
              <w:end w:w="80" w:type="dxa"/>
            </w:tcMar>
          </w:tcPr>
          <w:p>
            <w:pPr>
              <w:jc w:val="center"/>
            </w:pPr>
            <w:r>
              <w:rPr>
                <w:b/>
                <w:color w:val="152238"/>
                <w:sz w:val="18"/>
              </w:rPr>
              <w:t>HUB</w:t>
            </w:r>
          </w:p>
          <w:p>
            <w:pPr>
              <w:jc w:val="center"/>
            </w:pPr>
            <w:r>
              <w:rPr>
                <w:color w:val="5B6573"/>
                <w:sz w:val="16"/>
              </w:rPr>
              <w:t>Practice</w:t>
            </w:r>
          </w:p>
        </w:tc>
      </w:tr>
    </w:tbl>
    <w:p>
      <w:pPr>
        <w:pStyle w:val="Heading2"/>
      </w:pPr>
      <w:r>
        <w:t>What Dr. Pracht Is Receiving Now</w:t>
      </w:r>
    </w:p>
    <w:p>
      <w:pPr>
        <w:pStyle w:val="ListBullet"/>
      </w:pPr>
      <w:r>
        <w:t>Committee proposal: project scope, research questions, three-paper architecture, applied product, ethics, and timeline.</w:t>
      </w:r>
    </w:p>
    <w:p>
      <w:pPr>
        <w:pStyle w:val="ListBullet"/>
      </w:pPr>
      <w:r>
        <w:t>Paper 1: structured review of self-advocacy, navigation, disclosure, responsibility transfer, and support continuity.</w:t>
      </w:r>
    </w:p>
    <w:p>
      <w:pPr>
        <w:pStyle w:val="ListBullet"/>
      </w:pPr>
      <w:r>
        <w:t>Paper 2: resource and gap analysis moving into publication-development mode.</w:t>
      </w:r>
    </w:p>
    <w:p>
      <w:pPr>
        <w:pStyle w:val="ListBullet"/>
      </w:pPr>
      <w:r>
        <w:t>EDIS/practitioner manuscript: accessible translation of the high-school-to-college transition research.</w:t>
      </w:r>
    </w:p>
    <w:p>
      <w:pPr>
        <w:spacing w:before="180"/>
        <w:jc w:val="center"/>
      </w:pPr>
      <w:r>
        <w:rPr>
          <w:i/>
          <w:color w:val="6B7280"/>
          <w:sz w:val="17"/>
        </w:rPr>
        <w:t>Dashboard date: September 14, 2026  •  Prepared for Eric S. Fishon and Dr. Dale Pracht</w:t>
      </w:r>
    </w:p>
    <w:p>
      <w:r>
        <w:br w:type="page"/>
      </w:r>
    </w:p>
    <w:p>
      <w:pPr>
        <w:spacing w:before="60" w:after="80"/>
      </w:pPr>
      <w:r>
        <w:rPr>
          <w:rFonts w:ascii="Aptos" w:hAnsi="Aptos"/>
          <w:b/>
          <w:color w:val="1F6FEB"/>
          <w:sz w:val="16"/>
        </w:rPr>
        <w:t>PORTFOLIO STATUS</w:t>
      </w:r>
    </w:p>
    <w:p>
      <w:pPr>
        <w:pStyle w:val="Heading1"/>
      </w:pPr>
      <w:r>
        <w:t>Where We Are</w:t>
      </w:r>
    </w:p>
    <w:tbl>
      <w:tblPr>
        <w:tblW w:type="auto" w:w="0"/>
        <w:jc w:val="center"/>
        <w:tblLook w:firstColumn="1" w:firstRow="1" w:lastColumn="0" w:lastRow="0" w:noHBand="0" w:noVBand="1" w:val="04A0"/>
      </w:tblPr>
      <w:tblGrid>
        <w:gridCol w:w="2592"/>
        <w:gridCol w:w="2592"/>
        <w:gridCol w:w="2592"/>
        <w:gridCol w:w="2592"/>
      </w:tblGrid>
      <w:tr>
        <w:tc>
          <w:tcPr>
            <w:tcW w:type="dxa" w:w="1512"/>
            <w:vAlign w:val="center"/>
            <w:tcMar>
              <w:top w:w="100" w:type="dxa"/>
              <w:start w:w="120" w:type="dxa"/>
              <w:bottom w:w="100" w:type="dxa"/>
              <w:end w:w="120" w:type="dxa"/>
            </w:tcMar>
            <w:shd w:fill="152238"/>
          </w:tcPr>
          <w:p>
            <w:pPr>
              <w:jc w:val="center"/>
            </w:pPr>
            <w:r/>
            <w:r>
              <w:rPr>
                <w:rFonts w:ascii="Aptos" w:hAnsi="Aptos"/>
                <w:b/>
                <w:color w:val="FFFFFF"/>
                <w:sz w:val="18"/>
              </w:rPr>
              <w:t>Workstream</w:t>
            </w:r>
          </w:p>
        </w:tc>
        <w:tc>
          <w:tcPr>
            <w:tcW w:type="dxa" w:w="1944"/>
            <w:vAlign w:val="center"/>
            <w:tcMar>
              <w:top w:w="100" w:type="dxa"/>
              <w:start w:w="120" w:type="dxa"/>
              <w:bottom w:w="100" w:type="dxa"/>
              <w:end w:w="120" w:type="dxa"/>
            </w:tcMar>
            <w:shd w:fill="152238"/>
          </w:tcPr>
          <w:p>
            <w:pPr>
              <w:jc w:val="center"/>
            </w:pPr>
            <w:r/>
            <w:r>
              <w:rPr>
                <w:rFonts w:ascii="Aptos" w:hAnsi="Aptos"/>
                <w:b/>
                <w:color w:val="FFFFFF"/>
                <w:sz w:val="18"/>
              </w:rPr>
              <w:t>Current State</w:t>
            </w:r>
          </w:p>
        </w:tc>
        <w:tc>
          <w:tcPr>
            <w:tcW w:type="dxa" w:w="3528"/>
            <w:vAlign w:val="center"/>
            <w:tcMar>
              <w:top w:w="100" w:type="dxa"/>
              <w:start w:w="120" w:type="dxa"/>
              <w:bottom w:w="100" w:type="dxa"/>
              <w:end w:w="120" w:type="dxa"/>
            </w:tcMar>
            <w:shd w:fill="152238"/>
          </w:tcPr>
          <w:p>
            <w:pPr>
              <w:jc w:val="center"/>
            </w:pPr>
            <w:r/>
            <w:r>
              <w:rPr>
                <w:rFonts w:ascii="Aptos" w:hAnsi="Aptos"/>
                <w:b/>
                <w:color w:val="FFFFFF"/>
                <w:sz w:val="18"/>
              </w:rPr>
              <w:t>What It Establishes</w:t>
            </w:r>
          </w:p>
        </w:tc>
        <w:tc>
          <w:tcPr>
            <w:tcW w:type="dxa" w:w="3240"/>
            <w:vAlign w:val="center"/>
            <w:tcMar>
              <w:top w:w="100" w:type="dxa"/>
              <w:start w:w="120" w:type="dxa"/>
              <w:bottom w:w="100" w:type="dxa"/>
              <w:end w:w="120" w:type="dxa"/>
            </w:tcMar>
            <w:shd w:fill="152238"/>
          </w:tcPr>
          <w:p>
            <w:pPr>
              <w:jc w:val="center"/>
            </w:pPr>
            <w:r/>
            <w:r>
              <w:rPr>
                <w:rFonts w:ascii="Aptos" w:hAnsi="Aptos"/>
                <w:b/>
                <w:color w:val="FFFFFF"/>
                <w:sz w:val="18"/>
              </w:rPr>
              <w:t>Next Decision</w:t>
            </w:r>
          </w:p>
        </w:tc>
      </w:tr>
      <w:tr>
        <w:tc>
          <w:tcPr>
            <w:tcW w:type="dxa" w:w="1512"/>
            <w:vAlign w:val="center"/>
            <w:tcMar>
              <w:top w:w="100" w:type="dxa"/>
              <w:start w:w="120" w:type="dxa"/>
              <w:bottom w:w="100" w:type="dxa"/>
              <w:end w:w="120" w:type="dxa"/>
            </w:tcMar>
            <w:shd w:fill="F7F9FC"/>
          </w:tcPr>
          <w:p>
            <w:r/>
            <w:r>
              <w:rPr>
                <w:rFonts w:ascii="Aptos" w:hAnsi="Aptos"/>
                <w:b/>
                <w:color w:val="263238"/>
                <w:sz w:val="17"/>
              </w:rPr>
              <w:t>Proposal</w:t>
            </w:r>
          </w:p>
        </w:tc>
        <w:tc>
          <w:tcPr>
            <w:tcW w:type="dxa" w:w="1944"/>
            <w:vAlign w:val="center"/>
            <w:tcMar>
              <w:top w:w="100" w:type="dxa"/>
              <w:start w:w="120" w:type="dxa"/>
              <w:bottom w:w="100" w:type="dxa"/>
              <w:end w:w="120" w:type="dxa"/>
            </w:tcMar>
            <w:shd w:fill="F7F9FC"/>
          </w:tcPr>
          <w:p>
            <w:r/>
            <w:r>
              <w:rPr>
                <w:rFonts w:ascii="Aptos" w:hAnsi="Aptos"/>
                <w:b w:val="0"/>
                <w:color w:val="263238"/>
                <w:sz w:val="17"/>
              </w:rPr>
              <w:t>Committee defense draft</w:t>
            </w:r>
          </w:p>
        </w:tc>
        <w:tc>
          <w:tcPr>
            <w:tcW w:type="dxa" w:w="3528"/>
            <w:vAlign w:val="center"/>
            <w:tcMar>
              <w:top w:w="100" w:type="dxa"/>
              <w:start w:w="120" w:type="dxa"/>
              <w:bottom w:w="100" w:type="dxa"/>
              <w:end w:w="120" w:type="dxa"/>
            </w:tcMar>
            <w:shd w:fill="F7F9FC"/>
          </w:tcPr>
          <w:p>
            <w:r/>
            <w:r>
              <w:rPr>
                <w:rFonts w:ascii="Aptos" w:hAnsi="Aptos"/>
                <w:b w:val="0"/>
                <w:color w:val="263238"/>
                <w:sz w:val="17"/>
              </w:rPr>
              <w:t>Scope, RQs, methods, ethics, publication architecture</w:t>
            </w:r>
          </w:p>
        </w:tc>
        <w:tc>
          <w:tcPr>
            <w:tcW w:type="dxa" w:w="3240"/>
            <w:vAlign w:val="center"/>
            <w:tcMar>
              <w:top w:w="100" w:type="dxa"/>
              <w:start w:w="120" w:type="dxa"/>
              <w:bottom w:w="100" w:type="dxa"/>
              <w:end w:w="120" w:type="dxa"/>
            </w:tcMar>
            <w:shd w:fill="F7F9FC"/>
          </w:tcPr>
          <w:p>
            <w:r/>
            <w:r>
              <w:rPr>
                <w:rFonts w:ascii="Aptos" w:hAnsi="Aptos"/>
                <w:b w:val="0"/>
                <w:color w:val="263238"/>
                <w:sz w:val="17"/>
              </w:rPr>
              <w:t>Confirm scope and proposal-defense revisions</w:t>
            </w:r>
          </w:p>
        </w:tc>
      </w:tr>
      <w:tr>
        <w:tc>
          <w:tcPr>
            <w:tcW w:type="dxa" w:w="1512"/>
            <w:vAlign w:val="center"/>
            <w:tcMar>
              <w:top w:w="100" w:type="dxa"/>
              <w:start w:w="120" w:type="dxa"/>
              <w:bottom w:w="100" w:type="dxa"/>
              <w:end w:w="120" w:type="dxa"/>
            </w:tcMar>
            <w:shd w:fill="FFFFFF"/>
          </w:tcPr>
          <w:p>
            <w:r/>
            <w:r>
              <w:rPr>
                <w:rFonts w:ascii="Aptos" w:hAnsi="Aptos"/>
                <w:b/>
                <w:color w:val="263238"/>
                <w:sz w:val="17"/>
              </w:rPr>
              <w:t>Paper 1</w:t>
            </w:r>
          </w:p>
        </w:tc>
        <w:tc>
          <w:tcPr>
            <w:tcW w:type="dxa" w:w="1944"/>
            <w:vAlign w:val="center"/>
            <w:tcMar>
              <w:top w:w="100" w:type="dxa"/>
              <w:start w:w="120" w:type="dxa"/>
              <w:bottom w:w="100" w:type="dxa"/>
              <w:end w:w="120" w:type="dxa"/>
            </w:tcMar>
            <w:shd w:fill="FFFFFF"/>
          </w:tcPr>
          <w:p>
            <w:r/>
            <w:r>
              <w:rPr>
                <w:rFonts w:ascii="Aptos" w:hAnsi="Aptos"/>
                <w:b w:val="0"/>
                <w:color w:val="263238"/>
                <w:sz w:val="17"/>
              </w:rPr>
              <w:t>Drafted / citation audit</w:t>
            </w:r>
          </w:p>
        </w:tc>
        <w:tc>
          <w:tcPr>
            <w:tcW w:type="dxa" w:w="3528"/>
            <w:vAlign w:val="center"/>
            <w:tcMar>
              <w:top w:w="100" w:type="dxa"/>
              <w:start w:w="120" w:type="dxa"/>
              <w:bottom w:w="100" w:type="dxa"/>
              <w:end w:w="120" w:type="dxa"/>
            </w:tcMar>
            <w:shd w:fill="FFFFFF"/>
          </w:tcPr>
          <w:p>
            <w:r/>
            <w:r>
              <w:rPr>
                <w:rFonts w:ascii="Aptos" w:hAnsi="Aptos"/>
                <w:b w:val="0"/>
                <w:color w:val="263238"/>
                <w:sz w:val="17"/>
              </w:rPr>
              <w:t>Needs: self-knowledge, advocacy, disclosure, navigation, responsibility, continuity</w:t>
            </w:r>
          </w:p>
        </w:tc>
        <w:tc>
          <w:tcPr>
            <w:tcW w:type="dxa" w:w="3240"/>
            <w:vAlign w:val="center"/>
            <w:tcMar>
              <w:top w:w="100" w:type="dxa"/>
              <w:start w:w="120" w:type="dxa"/>
              <w:bottom w:w="100" w:type="dxa"/>
              <w:end w:w="120" w:type="dxa"/>
            </w:tcMar>
            <w:shd w:fill="FFFFFF"/>
          </w:tcPr>
          <w:p>
            <w:r/>
            <w:r>
              <w:rPr>
                <w:rFonts w:ascii="Aptos" w:hAnsi="Aptos"/>
                <w:b w:val="0"/>
                <w:color w:val="263238"/>
                <w:sz w:val="17"/>
              </w:rPr>
              <w:t>Verify source-method details; journal target</w:t>
            </w:r>
          </w:p>
        </w:tc>
      </w:tr>
      <w:tr>
        <w:tc>
          <w:tcPr>
            <w:tcW w:type="dxa" w:w="1512"/>
            <w:vAlign w:val="center"/>
            <w:tcMar>
              <w:top w:w="100" w:type="dxa"/>
              <w:start w:w="120" w:type="dxa"/>
              <w:bottom w:w="100" w:type="dxa"/>
              <w:end w:w="120" w:type="dxa"/>
            </w:tcMar>
            <w:shd w:fill="F7F9FC"/>
          </w:tcPr>
          <w:p>
            <w:r/>
            <w:r>
              <w:rPr>
                <w:rFonts w:ascii="Aptos" w:hAnsi="Aptos"/>
                <w:b/>
                <w:color w:val="263238"/>
                <w:sz w:val="17"/>
              </w:rPr>
              <w:t>Paper 2</w:t>
            </w:r>
          </w:p>
        </w:tc>
        <w:tc>
          <w:tcPr>
            <w:tcW w:type="dxa" w:w="1944"/>
            <w:vAlign w:val="center"/>
            <w:tcMar>
              <w:top w:w="100" w:type="dxa"/>
              <w:start w:w="120" w:type="dxa"/>
              <w:bottom w:w="100" w:type="dxa"/>
              <w:end w:w="120" w:type="dxa"/>
            </w:tcMar>
            <w:shd w:fill="F7F9FC"/>
          </w:tcPr>
          <w:p>
            <w:r/>
            <w:r>
              <w:rPr>
                <w:rFonts w:ascii="Aptos" w:hAnsi="Aptos"/>
                <w:b w:val="0"/>
                <w:color w:val="263238"/>
                <w:sz w:val="17"/>
              </w:rPr>
              <w:t>Drafted → publication development</w:t>
            </w:r>
          </w:p>
        </w:tc>
        <w:tc>
          <w:tcPr>
            <w:tcW w:type="dxa" w:w="3528"/>
            <w:vAlign w:val="center"/>
            <w:tcMar>
              <w:top w:w="100" w:type="dxa"/>
              <w:start w:w="120" w:type="dxa"/>
              <w:bottom w:w="100" w:type="dxa"/>
              <w:end w:w="120" w:type="dxa"/>
            </w:tcMar>
            <w:shd w:fill="F7F9FC"/>
          </w:tcPr>
          <w:p>
            <w:r/>
            <w:r>
              <w:rPr>
                <w:rFonts w:ascii="Aptos" w:hAnsi="Aptos"/>
                <w:b w:val="0"/>
                <w:color w:val="263238"/>
                <w:sz w:val="17"/>
              </w:rPr>
              <w:t>Residual gaps: fragmentation, translation to action, implementation, continuity</w:t>
            </w:r>
          </w:p>
        </w:tc>
        <w:tc>
          <w:tcPr>
            <w:tcW w:type="dxa" w:w="3240"/>
            <w:vAlign w:val="center"/>
            <w:tcMar>
              <w:top w:w="100" w:type="dxa"/>
              <w:start w:w="120" w:type="dxa"/>
              <w:bottom w:w="100" w:type="dxa"/>
              <w:end w:w="120" w:type="dxa"/>
            </w:tcMar>
            <w:shd w:fill="F7F9FC"/>
          </w:tcPr>
          <w:p>
            <w:r/>
            <w:r>
              <w:rPr>
                <w:rFonts w:ascii="Aptos" w:hAnsi="Aptos"/>
                <w:b w:val="0"/>
                <w:color w:val="263238"/>
                <w:sz w:val="17"/>
              </w:rPr>
              <w:t>Close resource map; strengthen reproducible method</w:t>
            </w:r>
          </w:p>
        </w:tc>
      </w:tr>
      <w:tr>
        <w:tc>
          <w:tcPr>
            <w:tcW w:type="dxa" w:w="1512"/>
            <w:vAlign w:val="center"/>
            <w:tcMar>
              <w:top w:w="100" w:type="dxa"/>
              <w:start w:w="120" w:type="dxa"/>
              <w:bottom w:w="100" w:type="dxa"/>
              <w:end w:w="120" w:type="dxa"/>
            </w:tcMar>
            <w:shd w:fill="FFFFFF"/>
          </w:tcPr>
          <w:p>
            <w:r/>
            <w:r>
              <w:rPr>
                <w:rFonts w:ascii="Aptos" w:hAnsi="Aptos"/>
                <w:b/>
                <w:color w:val="263238"/>
                <w:sz w:val="17"/>
              </w:rPr>
              <w:t>Paper 3</w:t>
            </w:r>
          </w:p>
        </w:tc>
        <w:tc>
          <w:tcPr>
            <w:tcW w:type="dxa" w:w="1944"/>
            <w:vAlign w:val="center"/>
            <w:tcMar>
              <w:top w:w="100" w:type="dxa"/>
              <w:start w:w="120" w:type="dxa"/>
              <w:bottom w:w="100" w:type="dxa"/>
              <w:end w:w="120" w:type="dxa"/>
            </w:tcMar>
            <w:shd w:fill="FFFFFF"/>
          </w:tcPr>
          <w:p>
            <w:r/>
            <w:r>
              <w:rPr>
                <w:rFonts w:ascii="Aptos" w:hAnsi="Aptos"/>
                <w:b w:val="0"/>
                <w:color w:val="263238"/>
                <w:sz w:val="17"/>
              </w:rPr>
              <w:t>Planned</w:t>
            </w:r>
          </w:p>
        </w:tc>
        <w:tc>
          <w:tcPr>
            <w:tcW w:type="dxa" w:w="3528"/>
            <w:vAlign w:val="center"/>
            <w:tcMar>
              <w:top w:w="100" w:type="dxa"/>
              <w:start w:w="120" w:type="dxa"/>
              <w:bottom w:w="100" w:type="dxa"/>
              <w:end w:w="120" w:type="dxa"/>
            </w:tcMar>
            <w:shd w:fill="FFFFFF"/>
          </w:tcPr>
          <w:p>
            <w:r/>
            <w:r>
              <w:rPr>
                <w:rFonts w:ascii="Aptos" w:hAnsi="Aptos"/>
                <w:b w:val="0"/>
                <w:color w:val="263238"/>
                <w:sz w:val="17"/>
              </w:rPr>
              <w:t>Evidence-informed bridge response</w:t>
            </w:r>
          </w:p>
        </w:tc>
        <w:tc>
          <w:tcPr>
            <w:tcW w:type="dxa" w:w="3240"/>
            <w:vAlign w:val="center"/>
            <w:tcMar>
              <w:top w:w="100" w:type="dxa"/>
              <w:start w:w="120" w:type="dxa"/>
              <w:bottom w:w="100" w:type="dxa"/>
              <w:end w:w="120" w:type="dxa"/>
            </w:tcMar>
            <w:shd w:fill="FFFFFF"/>
          </w:tcPr>
          <w:p>
            <w:r/>
            <w:r>
              <w:rPr>
                <w:rFonts w:ascii="Aptos" w:hAnsi="Aptos"/>
                <w:b w:val="0"/>
                <w:color w:val="263238"/>
                <w:sz w:val="17"/>
              </w:rPr>
              <w:t>Begin only after Paper 2 gap is confirmed</w:t>
            </w:r>
          </w:p>
        </w:tc>
      </w:tr>
      <w:tr>
        <w:tc>
          <w:tcPr>
            <w:tcW w:type="dxa" w:w="1512"/>
            <w:vAlign w:val="center"/>
            <w:tcMar>
              <w:top w:w="100" w:type="dxa"/>
              <w:start w:w="120" w:type="dxa"/>
              <w:bottom w:w="100" w:type="dxa"/>
              <w:end w:w="120" w:type="dxa"/>
            </w:tcMar>
            <w:shd w:fill="F7F9FC"/>
          </w:tcPr>
          <w:p>
            <w:r/>
            <w:r>
              <w:rPr>
                <w:rFonts w:ascii="Aptos" w:hAnsi="Aptos"/>
                <w:b/>
                <w:color w:val="263238"/>
                <w:sz w:val="17"/>
              </w:rPr>
              <w:t>EDIS</w:t>
            </w:r>
          </w:p>
        </w:tc>
        <w:tc>
          <w:tcPr>
            <w:tcW w:type="dxa" w:w="1944"/>
            <w:vAlign w:val="center"/>
            <w:tcMar>
              <w:top w:w="100" w:type="dxa"/>
              <w:start w:w="120" w:type="dxa"/>
              <w:bottom w:w="100" w:type="dxa"/>
              <w:end w:w="120" w:type="dxa"/>
            </w:tcMar>
            <w:shd w:fill="F7F9FC"/>
          </w:tcPr>
          <w:p>
            <w:r/>
            <w:r>
              <w:rPr>
                <w:rFonts w:ascii="Aptos" w:hAnsi="Aptos"/>
                <w:b w:val="0"/>
                <w:color w:val="263238"/>
                <w:sz w:val="17"/>
              </w:rPr>
              <w:t>Publication-style draft</w:t>
            </w:r>
          </w:p>
        </w:tc>
        <w:tc>
          <w:tcPr>
            <w:tcW w:type="dxa" w:w="3528"/>
            <w:vAlign w:val="center"/>
            <w:tcMar>
              <w:top w:w="100" w:type="dxa"/>
              <w:start w:w="120" w:type="dxa"/>
              <w:bottom w:w="100" w:type="dxa"/>
              <w:end w:w="120" w:type="dxa"/>
            </w:tcMar>
            <w:shd w:fill="F7F9FC"/>
          </w:tcPr>
          <w:p>
            <w:r/>
            <w:r>
              <w:rPr>
                <w:rFonts w:ascii="Aptos" w:hAnsi="Aptos"/>
                <w:b w:val="0"/>
                <w:color w:val="263238"/>
                <w:sz w:val="17"/>
              </w:rPr>
              <w:t>Family/practitioner translation</w:t>
            </w:r>
          </w:p>
        </w:tc>
        <w:tc>
          <w:tcPr>
            <w:tcW w:type="dxa" w:w="3240"/>
            <w:vAlign w:val="center"/>
            <w:tcMar>
              <w:top w:w="100" w:type="dxa"/>
              <w:start w:w="120" w:type="dxa"/>
              <w:bottom w:w="100" w:type="dxa"/>
              <w:end w:w="120" w:type="dxa"/>
            </w:tcMar>
            <w:shd w:fill="F7F9FC"/>
          </w:tcPr>
          <w:p>
            <w:r/>
            <w:r>
              <w:rPr>
                <w:rFonts w:ascii="Aptos" w:hAnsi="Aptos"/>
                <w:b w:val="0"/>
                <w:color w:val="263238"/>
                <w:sz w:val="17"/>
              </w:rPr>
              <w:t>Editorial review and submission pathway</w:t>
            </w:r>
          </w:p>
        </w:tc>
      </w:tr>
      <w:tr>
        <w:tc>
          <w:tcPr>
            <w:tcW w:type="dxa" w:w="1512"/>
            <w:vAlign w:val="center"/>
            <w:tcMar>
              <w:top w:w="100" w:type="dxa"/>
              <w:start w:w="120" w:type="dxa"/>
              <w:bottom w:w="100" w:type="dxa"/>
              <w:end w:w="120" w:type="dxa"/>
            </w:tcMar>
            <w:shd w:fill="FFFFFF"/>
          </w:tcPr>
          <w:p>
            <w:r/>
            <w:r>
              <w:rPr>
                <w:rFonts w:ascii="Aptos" w:hAnsi="Aptos"/>
                <w:b/>
                <w:color w:val="263238"/>
                <w:sz w:val="17"/>
              </w:rPr>
              <w:t>Hub Prototype</w:t>
            </w:r>
          </w:p>
        </w:tc>
        <w:tc>
          <w:tcPr>
            <w:tcW w:type="dxa" w:w="1944"/>
            <w:vAlign w:val="center"/>
            <w:tcMar>
              <w:top w:w="100" w:type="dxa"/>
              <w:start w:w="120" w:type="dxa"/>
              <w:bottom w:w="100" w:type="dxa"/>
              <w:end w:w="120" w:type="dxa"/>
            </w:tcMar>
            <w:shd w:fill="FFFFFF"/>
          </w:tcPr>
          <w:p>
            <w:r/>
            <w:r>
              <w:rPr>
                <w:rFonts w:ascii="Aptos" w:hAnsi="Aptos"/>
                <w:b w:val="0"/>
                <w:color w:val="263238"/>
                <w:sz w:val="17"/>
              </w:rPr>
              <w:t>Architecture defined</w:t>
            </w:r>
          </w:p>
        </w:tc>
        <w:tc>
          <w:tcPr>
            <w:tcW w:type="dxa" w:w="3528"/>
            <w:vAlign w:val="center"/>
            <w:tcMar>
              <w:top w:w="100" w:type="dxa"/>
              <w:start w:w="120" w:type="dxa"/>
              <w:bottom w:w="100" w:type="dxa"/>
              <w:end w:w="120" w:type="dxa"/>
            </w:tcMar>
            <w:shd w:fill="FFFFFF"/>
          </w:tcPr>
          <w:p>
            <w:r/>
            <w:r>
              <w:rPr>
                <w:rFonts w:ascii="Aptos" w:hAnsi="Aptos"/>
                <w:b w:val="0"/>
                <w:color w:val="263238"/>
                <w:sz w:val="17"/>
              </w:rPr>
              <w:t>Prepare → Bridge → Navigate; bounded AI</w:t>
            </w:r>
          </w:p>
        </w:tc>
        <w:tc>
          <w:tcPr>
            <w:tcW w:type="dxa" w:w="3240"/>
            <w:vAlign w:val="center"/>
            <w:tcMar>
              <w:top w:w="100" w:type="dxa"/>
              <w:start w:w="120" w:type="dxa"/>
              <w:bottom w:w="100" w:type="dxa"/>
              <w:end w:w="120" w:type="dxa"/>
            </w:tcMar>
            <w:shd w:fill="FFFFFF"/>
          </w:tcPr>
          <w:p>
            <w:r/>
            <w:r>
              <w:rPr>
                <w:rFonts w:ascii="Aptos" w:hAnsi="Aptos"/>
                <w:b w:val="0"/>
                <w:color w:val="263238"/>
                <w:sz w:val="17"/>
              </w:rPr>
              <w:t>Convert evidence into module specs and clickable demo</w:t>
            </w:r>
          </w:p>
        </w:tc>
      </w:tr>
    </w:tbl>
    <w:p>
      <w:pPr>
        <w:pStyle w:val="Heading2"/>
      </w:pPr>
      <w:r>
        <w:t>The Emerging Scholarly Contribution</w:t>
      </w:r>
    </w:p>
    <w:p>
      <w:r>
        <w:rPr>
          <w:b/>
          <w:color w:val="7C3AED"/>
          <w:sz w:val="24"/>
        </w:rPr>
        <w:t>Access Continuity</w:t>
      </w:r>
      <w:r>
        <w:t xml:space="preserve"> is the strongest unifying concept now emerging across the project: access is not achieved merely because information, an accommodation, or a technology exists. Meaningful access depends on continuity across recognition, articulation, navigation, implementation, review, and follow-up.</w:t>
      </w:r>
    </w:p>
    <w:p>
      <w:pPr>
        <w:spacing w:before="60" w:after="80"/>
      </w:pPr>
      <w:r>
        <w:rPr>
          <w:rFonts w:ascii="Aptos" w:hAnsi="Aptos"/>
          <w:b/>
          <w:color w:val="1F6FEB"/>
          <w:sz w:val="16"/>
        </w:rPr>
        <w:t>WORKING CONTINUITY PATHWAY</w:t>
      </w:r>
    </w:p>
    <w:tbl>
      <w:tblPr>
        <w:tblW w:type="auto" w:w="0"/>
        <w:tblLook w:firstColumn="1" w:firstRow="1" w:lastColumn="0" w:lastRow="0" w:noHBand="0" w:noVBand="1" w:val="04A0"/>
        <w:jc w:val="center"/>
        <w:tblBorders>
          <w:top w:val="nil"/>
          <w:left w:val="nil"/>
          <w:bottom w:val="nil"/>
          <w:right w:val="nil"/>
          <w:insideH w:val="nil"/>
          <w:insideV w:val="nil"/>
        </w:tblBorders>
      </w:tblPr>
      <w:tblGrid>
        <w:gridCol w:w="1481"/>
        <w:gridCol w:w="1481"/>
        <w:gridCol w:w="1481"/>
        <w:gridCol w:w="1481"/>
        <w:gridCol w:w="1481"/>
        <w:gridCol w:w="1481"/>
        <w:gridCol w:w="1481"/>
      </w:tblGrid>
      <w:tr>
        <w:tc>
          <w:tcPr>
            <w:tcW w:type="dxa" w:w="1481"/>
            <w:vAlign w:val="center"/>
            <w:tcMar>
              <w:top w:w="100" w:type="dxa"/>
              <w:start w:w="120" w:type="dxa"/>
              <w:bottom w:w="100" w:type="dxa"/>
              <w:end w:w="120" w:type="dxa"/>
            </w:tcMar>
            <w:shd w:fill="EAF2FD"/>
          </w:tcPr>
          <w:p>
            <w:pPr>
              <w:jc w:val="center"/>
            </w:pPr>
            <w:r/>
            <w:r>
              <w:rPr>
                <w:rFonts w:ascii="Aptos" w:hAnsi="Aptos"/>
                <w:b/>
                <w:color w:val="152238"/>
                <w:sz w:val="16"/>
              </w:rPr>
              <w:t>Recognize</w:t>
            </w:r>
          </w:p>
        </w:tc>
        <w:tc>
          <w:tcPr>
            <w:tcW w:type="dxa" w:w="1481"/>
            <w:vAlign w:val="center"/>
            <w:tcMar>
              <w:top w:w="100" w:type="dxa"/>
              <w:start w:w="120" w:type="dxa"/>
              <w:bottom w:w="100" w:type="dxa"/>
              <w:end w:w="120" w:type="dxa"/>
            </w:tcMar>
            <w:shd w:fill="EAF2FD"/>
          </w:tcPr>
          <w:p>
            <w:pPr>
              <w:jc w:val="center"/>
            </w:pPr>
            <w:r/>
            <w:r>
              <w:rPr>
                <w:rFonts w:ascii="Aptos" w:hAnsi="Aptos"/>
                <w:b/>
                <w:color w:val="152238"/>
                <w:sz w:val="16"/>
              </w:rPr>
              <w:t>Articulate</w:t>
            </w:r>
          </w:p>
        </w:tc>
        <w:tc>
          <w:tcPr>
            <w:tcW w:type="dxa" w:w="1481"/>
            <w:vAlign w:val="center"/>
            <w:tcMar>
              <w:top w:w="100" w:type="dxa"/>
              <w:start w:w="120" w:type="dxa"/>
              <w:bottom w:w="100" w:type="dxa"/>
              <w:end w:w="120" w:type="dxa"/>
            </w:tcMar>
            <w:shd w:fill="EAF2FD"/>
          </w:tcPr>
          <w:p>
            <w:pPr>
              <w:jc w:val="center"/>
            </w:pPr>
            <w:r/>
            <w:r>
              <w:rPr>
                <w:rFonts w:ascii="Aptos" w:hAnsi="Aptos"/>
                <w:b/>
                <w:color w:val="152238"/>
                <w:sz w:val="16"/>
              </w:rPr>
              <w:t>Navigate</w:t>
            </w:r>
          </w:p>
        </w:tc>
        <w:tc>
          <w:tcPr>
            <w:tcW w:type="dxa" w:w="1481"/>
            <w:vAlign w:val="center"/>
            <w:tcMar>
              <w:top w:w="100" w:type="dxa"/>
              <w:start w:w="120" w:type="dxa"/>
              <w:bottom w:w="100" w:type="dxa"/>
              <w:end w:w="120" w:type="dxa"/>
            </w:tcMar>
            <w:shd w:fill="EAF2FD"/>
          </w:tcPr>
          <w:p>
            <w:pPr>
              <w:jc w:val="center"/>
            </w:pPr>
            <w:r/>
            <w:r>
              <w:rPr>
                <w:rFonts w:ascii="Aptos" w:hAnsi="Aptos"/>
                <w:b/>
                <w:color w:val="152238"/>
                <w:sz w:val="16"/>
              </w:rPr>
              <w:t>Advocate</w:t>
            </w:r>
          </w:p>
        </w:tc>
        <w:tc>
          <w:tcPr>
            <w:tcW w:type="dxa" w:w="1481"/>
            <w:vAlign w:val="center"/>
            <w:tcMar>
              <w:top w:w="100" w:type="dxa"/>
              <w:start w:w="120" w:type="dxa"/>
              <w:bottom w:w="100" w:type="dxa"/>
              <w:end w:w="120" w:type="dxa"/>
            </w:tcMar>
            <w:shd w:fill="E6F4EF"/>
          </w:tcPr>
          <w:p>
            <w:pPr>
              <w:jc w:val="center"/>
            </w:pPr>
            <w:r/>
            <w:r>
              <w:rPr>
                <w:rFonts w:ascii="Aptos" w:hAnsi="Aptos"/>
                <w:b/>
                <w:color w:val="152238"/>
                <w:sz w:val="16"/>
              </w:rPr>
              <w:t>Implement</w:t>
            </w:r>
          </w:p>
        </w:tc>
        <w:tc>
          <w:tcPr>
            <w:tcW w:type="dxa" w:w="1481"/>
            <w:vAlign w:val="center"/>
            <w:tcMar>
              <w:top w:w="100" w:type="dxa"/>
              <w:start w:w="120" w:type="dxa"/>
              <w:bottom w:w="100" w:type="dxa"/>
              <w:end w:w="120" w:type="dxa"/>
            </w:tcMar>
            <w:shd w:fill="E6F4EF"/>
          </w:tcPr>
          <w:p>
            <w:pPr>
              <w:jc w:val="center"/>
            </w:pPr>
            <w:r/>
            <w:r>
              <w:rPr>
                <w:rFonts w:ascii="Aptos" w:hAnsi="Aptos"/>
                <w:b/>
                <w:color w:val="152238"/>
                <w:sz w:val="16"/>
              </w:rPr>
              <w:t>Review</w:t>
            </w:r>
          </w:p>
        </w:tc>
        <w:tc>
          <w:tcPr>
            <w:tcW w:type="dxa" w:w="1481"/>
            <w:vAlign w:val="center"/>
            <w:tcMar>
              <w:top w:w="100" w:type="dxa"/>
              <w:start w:w="120" w:type="dxa"/>
              <w:bottom w:w="100" w:type="dxa"/>
              <w:end w:w="120" w:type="dxa"/>
            </w:tcMar>
            <w:shd w:fill="E6F4EF"/>
          </w:tcPr>
          <w:p>
            <w:pPr>
              <w:jc w:val="center"/>
            </w:pPr>
            <w:r/>
            <w:r>
              <w:rPr>
                <w:rFonts w:ascii="Aptos" w:hAnsi="Aptos"/>
                <w:b/>
                <w:color w:val="152238"/>
                <w:sz w:val="16"/>
              </w:rPr>
              <w:t>Escalate</w:t>
            </w:r>
          </w:p>
        </w:tc>
      </w:tr>
    </w:tbl>
    <w:p>
      <w:pPr>
        <w:pStyle w:val="Heading2"/>
      </w:pPr>
      <w:r>
        <w:t>Guardrails That Stay Fixed</w:t>
      </w:r>
    </w:p>
    <w:p>
      <w:pPr>
        <w:pStyle w:val="ListBullet"/>
      </w:pPr>
      <w:r>
        <w:t>Student-centered, not technology-centered.</w:t>
      </w:r>
    </w:p>
    <w:p>
      <w:pPr>
        <w:pStyle w:val="ListBullet"/>
      </w:pPr>
      <w:r>
        <w:t>Human institutional authority remains intact.</w:t>
      </w:r>
    </w:p>
    <w:p>
      <w:pPr>
        <w:pStyle w:val="ListBullet"/>
      </w:pPr>
      <w:r>
        <w:t>AI may organize, clarify, rehearse, and navigate; it does not diagnose, determine eligibility, prescribe accommodations, or replace disability services.</w:t>
      </w:r>
    </w:p>
    <w:p>
      <w:pPr>
        <w:pStyle w:val="ListBullet"/>
      </w:pPr>
      <w:r>
        <w:t>No claims of effectiveness without future testing.</w:t>
      </w:r>
    </w:p>
    <w:p>
      <w:pPr>
        <w:pStyle w:val="ListBullet"/>
      </w:pPr>
      <w:r>
        <w:t>Current UF work remains non-human-subjects under the proposed design.</w:t>
      </w:r>
    </w:p>
    <w:p>
      <w:r>
        <w:br w:type="page"/>
      </w:r>
    </w:p>
    <w:p>
      <w:pPr>
        <w:spacing w:before="60" w:after="80"/>
      </w:pPr>
      <w:r>
        <w:rPr>
          <w:rFonts w:ascii="Aptos" w:hAnsi="Aptos"/>
          <w:b/>
          <w:color w:val="1F6FEB"/>
          <w:sz w:val="16"/>
        </w:rPr>
        <w:t>PUBLICATION PIPELINE</w:t>
      </w:r>
    </w:p>
    <w:p>
      <w:pPr>
        <w:pStyle w:val="Heading1"/>
      </w:pPr>
      <w:r>
        <w:t>Where We Are Going</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2592"/>
        <w:gridCol w:w="2592"/>
        <w:gridCol w:w="2592"/>
        <w:gridCol w:w="2592"/>
      </w:tblGrid>
      <w:tr>
        <w:tc>
          <w:tcPr>
            <w:tcW w:type="dxa" w:w="2592"/>
            <w:shd w:fill="F5F8FC"/>
            <w:tcMar>
              <w:top w:w="140" w:type="dxa"/>
              <w:start w:w="150" w:type="dxa"/>
              <w:bottom w:w="140" w:type="dxa"/>
              <w:end w:w="150" w:type="dxa"/>
            </w:tcMar>
          </w:tcPr>
          <w:p>
            <w:pPr>
              <w:jc w:val="center"/>
            </w:pPr>
            <w:r>
              <w:rPr>
                <w:b/>
                <w:color w:val="1F6FEB"/>
                <w:sz w:val="18"/>
              </w:rPr>
              <w:t>PAPER 1</w:t>
            </w:r>
          </w:p>
          <w:p>
            <w:pPr>
              <w:spacing w:after="40"/>
              <w:jc w:val="center"/>
            </w:pPr>
            <w:r>
              <w:rPr>
                <w:b/>
                <w:color w:val="152238"/>
                <w:sz w:val="36"/>
              </w:rPr>
              <w:t>NEEDS</w:t>
            </w:r>
          </w:p>
          <w:p>
            <w:pPr>
              <w:jc w:val="center"/>
            </w:pPr>
            <w:r>
              <w:rPr>
                <w:color w:val="5B6573"/>
                <w:sz w:val="16"/>
              </w:rPr>
              <w:t>Structured review</w:t>
            </w:r>
          </w:p>
        </w:tc>
        <w:tc>
          <w:tcPr>
            <w:tcW w:type="dxa" w:w="2592"/>
            <w:shd w:fill="F5F8FC"/>
            <w:tcMar>
              <w:top w:w="140" w:type="dxa"/>
              <w:start w:w="150" w:type="dxa"/>
              <w:bottom w:w="140" w:type="dxa"/>
              <w:end w:w="150" w:type="dxa"/>
            </w:tcMar>
          </w:tcPr>
          <w:p>
            <w:pPr>
              <w:jc w:val="center"/>
            </w:pPr>
            <w:r>
              <w:rPr>
                <w:b/>
                <w:color w:val="7C3AED"/>
                <w:sz w:val="18"/>
              </w:rPr>
              <w:t>PAPER 2</w:t>
            </w:r>
          </w:p>
          <w:p>
            <w:pPr>
              <w:spacing w:after="40"/>
              <w:jc w:val="center"/>
            </w:pPr>
            <w:r>
              <w:rPr>
                <w:b/>
                <w:color w:val="152238"/>
                <w:sz w:val="36"/>
              </w:rPr>
              <w:t>GAPS</w:t>
            </w:r>
          </w:p>
          <w:p>
            <w:pPr>
              <w:jc w:val="center"/>
            </w:pPr>
            <w:r>
              <w:rPr>
                <w:color w:val="5B6573"/>
                <w:sz w:val="16"/>
              </w:rPr>
              <w:t>Resource analysis</w:t>
            </w:r>
          </w:p>
        </w:tc>
        <w:tc>
          <w:tcPr>
            <w:tcW w:type="dxa" w:w="2592"/>
            <w:shd w:fill="F5F8FC"/>
            <w:tcMar>
              <w:top w:w="140" w:type="dxa"/>
              <w:start w:w="150" w:type="dxa"/>
              <w:bottom w:w="140" w:type="dxa"/>
              <w:end w:w="150" w:type="dxa"/>
            </w:tcMar>
          </w:tcPr>
          <w:p>
            <w:pPr>
              <w:jc w:val="center"/>
            </w:pPr>
            <w:r>
              <w:rPr>
                <w:b/>
                <w:color w:val="0F9D75"/>
                <w:sz w:val="18"/>
              </w:rPr>
              <w:t>PAPER 3</w:t>
            </w:r>
          </w:p>
          <w:p>
            <w:pPr>
              <w:spacing w:after="40"/>
              <w:jc w:val="center"/>
            </w:pPr>
            <w:r>
              <w:rPr>
                <w:b/>
                <w:color w:val="152238"/>
                <w:sz w:val="36"/>
              </w:rPr>
              <w:t>DESIGN</w:t>
            </w:r>
          </w:p>
          <w:p>
            <w:pPr>
              <w:jc w:val="center"/>
            </w:pPr>
            <w:r>
              <w:rPr>
                <w:color w:val="5B6573"/>
                <w:sz w:val="16"/>
              </w:rPr>
              <w:t>Applied framework</w:t>
            </w:r>
          </w:p>
        </w:tc>
        <w:tc>
          <w:tcPr>
            <w:tcW w:type="dxa" w:w="2592"/>
            <w:shd w:fill="F5F8FC"/>
            <w:tcMar>
              <w:top w:w="140" w:type="dxa"/>
              <w:start w:w="150" w:type="dxa"/>
              <w:bottom w:w="140" w:type="dxa"/>
              <w:end w:w="150" w:type="dxa"/>
            </w:tcMar>
          </w:tcPr>
          <w:p>
            <w:pPr>
              <w:jc w:val="center"/>
            </w:pPr>
            <w:r>
              <w:rPr>
                <w:b/>
                <w:color w:val="E67E22"/>
                <w:sz w:val="18"/>
              </w:rPr>
              <w:t>EDIS</w:t>
            </w:r>
          </w:p>
          <w:p>
            <w:pPr>
              <w:spacing w:after="40"/>
              <w:jc w:val="center"/>
            </w:pPr>
            <w:r>
              <w:rPr>
                <w:b/>
                <w:color w:val="152238"/>
                <w:sz w:val="36"/>
              </w:rPr>
              <w:t>TRANSLATE</w:t>
            </w:r>
          </w:p>
          <w:p>
            <w:pPr>
              <w:jc w:val="center"/>
            </w:pPr>
            <w:r>
              <w:rPr>
                <w:color w:val="5B6573"/>
                <w:sz w:val="16"/>
              </w:rPr>
              <w:t>Practice audience</w:t>
            </w:r>
          </w:p>
        </w:tc>
      </w:tr>
    </w:tbl>
    <w:p>
      <w:pPr>
        <w:pStyle w:val="Heading2"/>
      </w:pPr>
      <w:r>
        <w:t>Publication Development Plan</w:t>
      </w:r>
    </w:p>
    <w:tbl>
      <w:tblPr>
        <w:tblW w:type="auto" w:w="0"/>
        <w:jc w:val="center"/>
        <w:tblLook w:firstColumn="1" w:firstRow="1" w:lastColumn="0" w:lastRow="0" w:noHBand="0" w:noVBand="1" w:val="04A0"/>
      </w:tblPr>
      <w:tblGrid>
        <w:gridCol w:w="2592"/>
        <w:gridCol w:w="2592"/>
        <w:gridCol w:w="2592"/>
        <w:gridCol w:w="2592"/>
      </w:tblGrid>
      <w:tr>
        <w:tc>
          <w:tcPr>
            <w:tcW w:type="dxa" w:w="2592"/>
            <w:vAlign w:val="center"/>
            <w:tcMar>
              <w:top w:w="100" w:type="dxa"/>
              <w:start w:w="120" w:type="dxa"/>
              <w:bottom w:w="100" w:type="dxa"/>
              <w:end w:w="120" w:type="dxa"/>
            </w:tcMar>
            <w:shd w:fill="1F6FEB"/>
          </w:tcPr>
          <w:p>
            <w:pPr>
              <w:jc w:val="center"/>
            </w:pPr>
            <w:r/>
            <w:r>
              <w:rPr>
                <w:rFonts w:ascii="Aptos" w:hAnsi="Aptos"/>
                <w:b/>
                <w:color w:val="FFFFFF"/>
                <w:sz w:val="18"/>
              </w:rPr>
              <w:t>Output</w:t>
            </w:r>
          </w:p>
        </w:tc>
        <w:tc>
          <w:tcPr>
            <w:tcW w:type="dxa" w:w="2592"/>
            <w:vAlign w:val="center"/>
            <w:tcMar>
              <w:top w:w="100" w:type="dxa"/>
              <w:start w:w="120" w:type="dxa"/>
              <w:bottom w:w="100" w:type="dxa"/>
              <w:end w:w="120" w:type="dxa"/>
            </w:tcMar>
            <w:shd w:fill="1F6FEB"/>
          </w:tcPr>
          <w:p>
            <w:pPr>
              <w:jc w:val="center"/>
            </w:pPr>
            <w:r/>
            <w:r>
              <w:rPr>
                <w:rFonts w:ascii="Aptos" w:hAnsi="Aptos"/>
                <w:b/>
                <w:color w:val="FFFFFF"/>
                <w:sz w:val="18"/>
              </w:rPr>
              <w:t>Publication Mode</w:t>
            </w:r>
          </w:p>
        </w:tc>
        <w:tc>
          <w:tcPr>
            <w:tcW w:type="dxa" w:w="2592"/>
            <w:vAlign w:val="center"/>
            <w:tcMar>
              <w:top w:w="100" w:type="dxa"/>
              <w:start w:w="120" w:type="dxa"/>
              <w:bottom w:w="100" w:type="dxa"/>
              <w:end w:w="120" w:type="dxa"/>
            </w:tcMar>
            <w:shd w:fill="1F6FEB"/>
          </w:tcPr>
          <w:p>
            <w:pPr>
              <w:jc w:val="center"/>
            </w:pPr>
            <w:r/>
            <w:r>
              <w:rPr>
                <w:rFonts w:ascii="Aptos" w:hAnsi="Aptos"/>
                <w:b/>
                <w:color w:val="FFFFFF"/>
                <w:sz w:val="18"/>
              </w:rPr>
              <w:t>Immediate Work</w:t>
            </w:r>
          </w:p>
        </w:tc>
        <w:tc>
          <w:tcPr>
            <w:tcW w:type="dxa" w:w="2592"/>
            <w:vAlign w:val="center"/>
            <w:tcMar>
              <w:top w:w="100" w:type="dxa"/>
              <w:start w:w="120" w:type="dxa"/>
              <w:bottom w:w="100" w:type="dxa"/>
              <w:end w:w="120" w:type="dxa"/>
            </w:tcMar>
            <w:shd w:fill="1F6FEB"/>
          </w:tcPr>
          <w:p>
            <w:pPr>
              <w:jc w:val="center"/>
            </w:pPr>
            <w:r/>
            <w:r>
              <w:rPr>
                <w:rFonts w:ascii="Aptos" w:hAnsi="Aptos"/>
                <w:b/>
                <w:color w:val="FFFFFF"/>
                <w:sz w:val="18"/>
              </w:rPr>
              <w:t>Definition of Ready</w:t>
            </w:r>
          </w:p>
        </w:tc>
      </w:tr>
      <w:tr>
        <w:tc>
          <w:tcPr>
            <w:tcW w:type="dxa" w:w="2592"/>
            <w:vAlign w:val="center"/>
            <w:tcMar>
              <w:top w:w="100" w:type="dxa"/>
              <w:start w:w="120" w:type="dxa"/>
              <w:bottom w:w="100" w:type="dxa"/>
              <w:end w:w="120" w:type="dxa"/>
            </w:tcMar>
            <w:shd w:fill="F7F9FC"/>
          </w:tcPr>
          <w:p>
            <w:r/>
            <w:r>
              <w:rPr>
                <w:rFonts w:ascii="Aptos" w:hAnsi="Aptos"/>
                <w:b/>
                <w:color w:val="263238"/>
                <w:sz w:val="16"/>
              </w:rPr>
              <w:t>Paper 1</w:t>
            </w:r>
          </w:p>
        </w:tc>
        <w:tc>
          <w:tcPr>
            <w:tcW w:type="dxa" w:w="2592"/>
            <w:vAlign w:val="center"/>
            <w:tcMar>
              <w:top w:w="100" w:type="dxa"/>
              <w:start w:w="120" w:type="dxa"/>
              <w:bottom w:w="100" w:type="dxa"/>
              <w:end w:w="120" w:type="dxa"/>
            </w:tcMar>
            <w:shd w:fill="F7F9FC"/>
          </w:tcPr>
          <w:p>
            <w:r/>
            <w:r>
              <w:rPr>
                <w:rFonts w:ascii="Aptos" w:hAnsi="Aptos"/>
                <w:b w:val="0"/>
                <w:color w:val="263238"/>
                <w:sz w:val="16"/>
              </w:rPr>
              <w:t>Stand-alone scholarly manuscript</w:t>
            </w:r>
          </w:p>
        </w:tc>
        <w:tc>
          <w:tcPr>
            <w:tcW w:type="dxa" w:w="2592"/>
            <w:vAlign w:val="center"/>
            <w:tcMar>
              <w:top w:w="100" w:type="dxa"/>
              <w:start w:w="120" w:type="dxa"/>
              <w:bottom w:w="100" w:type="dxa"/>
              <w:end w:w="120" w:type="dxa"/>
            </w:tcMar>
            <w:shd w:fill="F7F9FC"/>
          </w:tcPr>
          <w:p>
            <w:r/>
            <w:r>
              <w:rPr>
                <w:rFonts w:ascii="Aptos" w:hAnsi="Aptos"/>
                <w:b w:val="0"/>
                <w:color w:val="263238"/>
                <w:sz w:val="16"/>
              </w:rPr>
              <w:t>Citation/method audit; verify study-design entries; tighten novelty claim</w:t>
            </w:r>
          </w:p>
        </w:tc>
        <w:tc>
          <w:tcPr>
            <w:tcW w:type="dxa" w:w="2592"/>
            <w:vAlign w:val="center"/>
            <w:tcMar>
              <w:top w:w="100" w:type="dxa"/>
              <w:start w:w="120" w:type="dxa"/>
              <w:bottom w:w="100" w:type="dxa"/>
              <w:end w:w="120" w:type="dxa"/>
            </w:tcMar>
            <w:shd w:fill="F7F9FC"/>
          </w:tcPr>
          <w:p>
            <w:r/>
            <w:r>
              <w:rPr>
                <w:rFonts w:ascii="Aptos" w:hAnsi="Aptos"/>
                <w:b w:val="0"/>
                <w:color w:val="263238"/>
                <w:sz w:val="16"/>
              </w:rPr>
              <w:t>All retained studies verified; method reproducible enough for stated review design; journal selected</w:t>
            </w:r>
          </w:p>
        </w:tc>
      </w:tr>
      <w:tr>
        <w:tc>
          <w:tcPr>
            <w:tcW w:type="dxa" w:w="2592"/>
            <w:vAlign w:val="center"/>
            <w:tcMar>
              <w:top w:w="100" w:type="dxa"/>
              <w:start w:w="120" w:type="dxa"/>
              <w:bottom w:w="100" w:type="dxa"/>
              <w:end w:w="120" w:type="dxa"/>
            </w:tcMar>
            <w:shd w:fill="F7F9FC"/>
          </w:tcPr>
          <w:p>
            <w:r/>
            <w:r>
              <w:rPr>
                <w:rFonts w:ascii="Aptos" w:hAnsi="Aptos"/>
                <w:b/>
                <w:color w:val="263238"/>
                <w:sz w:val="16"/>
              </w:rPr>
              <w:t>Paper 2</w:t>
            </w:r>
          </w:p>
        </w:tc>
        <w:tc>
          <w:tcPr>
            <w:tcW w:type="dxa" w:w="2592"/>
            <w:vAlign w:val="center"/>
            <w:tcMar>
              <w:top w:w="100" w:type="dxa"/>
              <w:start w:w="120" w:type="dxa"/>
              <w:bottom w:w="100" w:type="dxa"/>
              <w:end w:w="120" w:type="dxa"/>
            </w:tcMar>
            <w:shd w:fill="F7F9FC"/>
          </w:tcPr>
          <w:p>
            <w:r/>
            <w:r>
              <w:rPr>
                <w:rFonts w:ascii="Aptos" w:hAnsi="Aptos"/>
                <w:b w:val="0"/>
                <w:color w:val="263238"/>
                <w:sz w:val="16"/>
              </w:rPr>
              <w:t>Stand-alone resource/gap manuscript</w:t>
            </w:r>
          </w:p>
        </w:tc>
        <w:tc>
          <w:tcPr>
            <w:tcW w:type="dxa" w:w="2592"/>
            <w:vAlign w:val="center"/>
            <w:tcMar>
              <w:top w:w="100" w:type="dxa"/>
              <w:start w:w="120" w:type="dxa"/>
              <w:bottom w:w="100" w:type="dxa"/>
              <w:end w:w="120" w:type="dxa"/>
            </w:tcMar>
            <w:shd w:fill="F7F9FC"/>
          </w:tcPr>
          <w:p>
            <w:r/>
            <w:r>
              <w:rPr>
                <w:rFonts w:ascii="Aptos" w:hAnsi="Aptos"/>
                <w:b w:val="0"/>
                <w:color w:val="263238"/>
                <w:sz w:val="16"/>
              </w:rPr>
              <w:t>Close resource map; document search/screening; deepen discussion of access continuity</w:t>
            </w:r>
          </w:p>
        </w:tc>
        <w:tc>
          <w:tcPr>
            <w:tcW w:type="dxa" w:w="2592"/>
            <w:vAlign w:val="center"/>
            <w:tcMar>
              <w:top w:w="100" w:type="dxa"/>
              <w:start w:w="120" w:type="dxa"/>
              <w:bottom w:w="100" w:type="dxa"/>
              <w:end w:w="120" w:type="dxa"/>
            </w:tcMar>
            <w:shd w:fill="F7F9FC"/>
          </w:tcPr>
          <w:p>
            <w:r/>
            <w:r>
              <w:rPr>
                <w:rFonts w:ascii="Aptos" w:hAnsi="Aptos"/>
                <w:b w:val="0"/>
                <w:color w:val="263238"/>
                <w:sz w:val="16"/>
              </w:rPr>
              <w:t>Evidence trail complete; gap claim bounded; practical implications clear</w:t>
            </w:r>
          </w:p>
        </w:tc>
      </w:tr>
      <w:tr>
        <w:tc>
          <w:tcPr>
            <w:tcW w:type="dxa" w:w="2592"/>
            <w:vAlign w:val="center"/>
            <w:tcMar>
              <w:top w:w="100" w:type="dxa"/>
              <w:start w:w="120" w:type="dxa"/>
              <w:bottom w:w="100" w:type="dxa"/>
              <w:end w:w="120" w:type="dxa"/>
            </w:tcMar>
            <w:shd w:fill="F7F9FC"/>
          </w:tcPr>
          <w:p>
            <w:r/>
            <w:r>
              <w:rPr>
                <w:rFonts w:ascii="Aptos" w:hAnsi="Aptos"/>
                <w:b/>
                <w:color w:val="263238"/>
                <w:sz w:val="16"/>
              </w:rPr>
              <w:t>Paper 3</w:t>
            </w:r>
          </w:p>
        </w:tc>
        <w:tc>
          <w:tcPr>
            <w:tcW w:type="dxa" w:w="2592"/>
            <w:vAlign w:val="center"/>
            <w:tcMar>
              <w:top w:w="100" w:type="dxa"/>
              <w:start w:w="120" w:type="dxa"/>
              <w:bottom w:w="100" w:type="dxa"/>
              <w:end w:w="120" w:type="dxa"/>
            </w:tcMar>
            <w:shd w:fill="F7F9FC"/>
          </w:tcPr>
          <w:p>
            <w:r/>
            <w:r>
              <w:rPr>
                <w:rFonts w:ascii="Aptos" w:hAnsi="Aptos"/>
                <w:b w:val="0"/>
                <w:color w:val="263238"/>
                <w:sz w:val="16"/>
              </w:rPr>
              <w:t>Applied/design manuscript</w:t>
            </w:r>
          </w:p>
        </w:tc>
        <w:tc>
          <w:tcPr>
            <w:tcW w:type="dxa" w:w="2592"/>
            <w:vAlign w:val="center"/>
            <w:tcMar>
              <w:top w:w="100" w:type="dxa"/>
              <w:start w:w="120" w:type="dxa"/>
              <w:bottom w:w="100" w:type="dxa"/>
              <w:end w:w="120" w:type="dxa"/>
            </w:tcMar>
            <w:shd w:fill="F7F9FC"/>
          </w:tcPr>
          <w:p>
            <w:r/>
            <w:r>
              <w:rPr>
                <w:rFonts w:ascii="Aptos" w:hAnsi="Aptos"/>
                <w:b w:val="0"/>
                <w:color w:val="263238"/>
                <w:sz w:val="16"/>
              </w:rPr>
              <w:t>Derive functions from Papers 1–2; specify accessibility, privacy, human oversight</w:t>
            </w:r>
          </w:p>
        </w:tc>
        <w:tc>
          <w:tcPr>
            <w:tcW w:type="dxa" w:w="2592"/>
            <w:vAlign w:val="center"/>
            <w:tcMar>
              <w:top w:w="100" w:type="dxa"/>
              <w:start w:w="120" w:type="dxa"/>
              <w:bottom w:w="100" w:type="dxa"/>
              <w:end w:w="120" w:type="dxa"/>
            </w:tcMar>
            <w:shd w:fill="F7F9FC"/>
          </w:tcPr>
          <w:p>
            <w:r/>
            <w:r>
              <w:rPr>
                <w:rFonts w:ascii="Aptos" w:hAnsi="Aptos"/>
                <w:b w:val="0"/>
                <w:color w:val="263238"/>
                <w:sz w:val="16"/>
              </w:rPr>
              <w:t>Every major feature traceable to evidence or clearly labeled design choice</w:t>
            </w:r>
          </w:p>
        </w:tc>
      </w:tr>
      <w:tr>
        <w:tc>
          <w:tcPr>
            <w:tcW w:type="dxa" w:w="2592"/>
            <w:vAlign w:val="center"/>
            <w:tcMar>
              <w:top w:w="100" w:type="dxa"/>
              <w:start w:w="120" w:type="dxa"/>
              <w:bottom w:w="100" w:type="dxa"/>
              <w:end w:w="120" w:type="dxa"/>
            </w:tcMar>
            <w:shd w:fill="F7F9FC"/>
          </w:tcPr>
          <w:p>
            <w:r/>
            <w:r>
              <w:rPr>
                <w:rFonts w:ascii="Aptos" w:hAnsi="Aptos"/>
                <w:b/>
                <w:color w:val="263238"/>
                <w:sz w:val="16"/>
              </w:rPr>
              <w:t>EDIS</w:t>
            </w:r>
          </w:p>
        </w:tc>
        <w:tc>
          <w:tcPr>
            <w:tcW w:type="dxa" w:w="2592"/>
            <w:vAlign w:val="center"/>
            <w:tcMar>
              <w:top w:w="100" w:type="dxa"/>
              <w:start w:w="120" w:type="dxa"/>
              <w:bottom w:w="100" w:type="dxa"/>
              <w:end w:w="120" w:type="dxa"/>
            </w:tcMar>
            <w:shd w:fill="F7F9FC"/>
          </w:tcPr>
          <w:p>
            <w:r/>
            <w:r>
              <w:rPr>
                <w:rFonts w:ascii="Aptos" w:hAnsi="Aptos"/>
                <w:b w:val="0"/>
                <w:color w:val="263238"/>
                <w:sz w:val="16"/>
              </w:rPr>
              <w:t>Practice publication</w:t>
            </w:r>
          </w:p>
        </w:tc>
        <w:tc>
          <w:tcPr>
            <w:tcW w:type="dxa" w:w="2592"/>
            <w:vAlign w:val="center"/>
            <w:tcMar>
              <w:top w:w="100" w:type="dxa"/>
              <w:start w:w="120" w:type="dxa"/>
              <w:bottom w:w="100" w:type="dxa"/>
              <w:end w:w="120" w:type="dxa"/>
            </w:tcMar>
            <w:shd w:fill="F7F9FC"/>
          </w:tcPr>
          <w:p>
            <w:r/>
            <w:r>
              <w:rPr>
                <w:rFonts w:ascii="Aptos" w:hAnsi="Aptos"/>
                <w:b w:val="0"/>
                <w:color w:val="263238"/>
                <w:sz w:val="16"/>
              </w:rPr>
              <w:t>Edit for Extension audience; simplify without losing accuracy</w:t>
            </w:r>
          </w:p>
        </w:tc>
        <w:tc>
          <w:tcPr>
            <w:tcW w:type="dxa" w:w="2592"/>
            <w:vAlign w:val="center"/>
            <w:tcMar>
              <w:top w:w="100" w:type="dxa"/>
              <w:start w:w="120" w:type="dxa"/>
              <w:bottom w:w="100" w:type="dxa"/>
              <w:end w:w="120" w:type="dxa"/>
            </w:tcMar>
            <w:shd w:fill="F7F9FC"/>
          </w:tcPr>
          <w:p>
            <w:r/>
            <w:r>
              <w:rPr>
                <w:rFonts w:ascii="Aptos" w:hAnsi="Aptos"/>
                <w:b w:val="0"/>
                <w:color w:val="263238"/>
                <w:sz w:val="16"/>
              </w:rPr>
              <w:t>Plain-language, actionable, source-grounded, publication-formatted</w:t>
            </w:r>
          </w:p>
        </w:tc>
      </w:tr>
    </w:tbl>
    <w:p>
      <w:pPr>
        <w:pStyle w:val="Heading2"/>
      </w:pPr>
      <w:r>
        <w:t>How the Pieces Stay Distinct</w:t>
      </w:r>
    </w:p>
    <w:p>
      <w:r>
        <w:t>The project benefits from reuse of evidence without turning every output into the same paper. Paper 1 answers “What needs exist?” Paper 2 asks “What already addresses those needs, and what remains?” Paper 3 asks “What evidence-informed response is justified?” EDIS asks “What should families and practitioners understand and do now?” The prototype demonstrates translation into practice; it is not evidence of effectiveness.</w:t>
      </w:r>
    </w:p>
    <w:p>
      <w:pPr>
        <w:pStyle w:val="Heading2"/>
      </w:pPr>
      <w:r>
        <w:t>Advisor Checkpoints</w:t>
      </w:r>
    </w:p>
    <w:p>
      <w:pPr>
        <w:pStyle w:val="ListBullet"/>
      </w:pPr>
      <w:r>
        <w:t>Scope: Is the secondary → transition → early postsecondary boundary appropriately bounded?</w:t>
      </w:r>
    </w:p>
    <w:p>
      <w:pPr>
        <w:pStyle w:val="ListBullet"/>
      </w:pPr>
      <w:r>
        <w:t>Publication: Which journals or outlets should guide final manuscript formatting and authorship decisions?</w:t>
      </w:r>
    </w:p>
    <w:p>
      <w:pPr>
        <w:pStyle w:val="ListBullet"/>
      </w:pPr>
      <w:r>
        <w:t>Methods: Is the structured-review/resource-map rigor sufficient for the intended outlets?</w:t>
      </w:r>
    </w:p>
    <w:p>
      <w:pPr>
        <w:pStyle w:val="ListBullet"/>
      </w:pPr>
      <w:r>
        <w:t>Contribution: Is “Access Continuity” useful as a working synthesis concept, and how cautiously should it be named?</w:t>
      </w:r>
    </w:p>
    <w:p>
      <w:pPr>
        <w:pStyle w:val="ListBullet"/>
      </w:pPr>
      <w:r>
        <w:t>Applied product: Which prototype functions belong in the UF project versus later doctoral/organizational work?</w:t>
      </w:r>
    </w:p>
    <w:p>
      <w:r>
        <w:br w:type="page"/>
      </w:r>
    </w:p>
    <w:p>
      <w:pPr>
        <w:spacing w:before="60" w:after="80"/>
      </w:pPr>
      <w:r>
        <w:rPr>
          <w:rFonts w:ascii="Aptos" w:hAnsi="Aptos"/>
          <w:b/>
          <w:color w:val="1F6FEB"/>
          <w:sz w:val="16"/>
        </w:rPr>
        <w:t>TECHNOLOGY TRANSLATION</w:t>
      </w:r>
    </w:p>
    <w:p>
      <w:pPr>
        <w:pStyle w:val="Heading1"/>
      </w:pPr>
      <w:r>
        <w:t>The Applied Hub: Evidence Made Visible</w:t>
      </w:r>
    </w:p>
    <w:p>
      <w:r>
        <w:t>The technology should visibly demonstrate the project’s core argument: AI and digital tools can reduce friction, but the student remains in control and human support remains central.</w:t>
      </w:r>
    </w:p>
    <w:tbl>
      <w:tblPr>
        <w:tblW w:type="auto" w:w="0"/>
        <w:tblLook w:firstColumn="1" w:firstRow="1" w:lastColumn="0" w:lastRow="0" w:noHBand="0" w:noVBand="1" w:val="04A0"/>
        <w:jc w:val="center"/>
        <w:tblBorders>
          <w:top w:val="nil"/>
          <w:left w:val="nil"/>
          <w:bottom w:val="nil"/>
          <w:right w:val="nil"/>
          <w:insideH w:val="nil"/>
          <w:insideV w:val="nil"/>
        </w:tblBorders>
      </w:tblPr>
      <w:tblGrid>
        <w:gridCol w:w="3456"/>
        <w:gridCol w:w="3456"/>
        <w:gridCol w:w="3456"/>
      </w:tblGrid>
      <w:tr>
        <w:tc>
          <w:tcPr>
            <w:tcW w:type="dxa" w:w="3456"/>
            <w:shd w:fill="DCEBFA"/>
            <w:tcMar>
              <w:top w:w="180" w:type="dxa"/>
              <w:start w:w="170" w:type="dxa"/>
              <w:bottom w:w="180" w:type="dxa"/>
              <w:end w:w="170" w:type="dxa"/>
            </w:tcMar>
          </w:tcPr>
          <w:p>
            <w:pPr>
              <w:jc w:val="center"/>
            </w:pPr>
            <w:r>
              <w:rPr>
                <w:b/>
                <w:color w:val="152238"/>
                <w:sz w:val="30"/>
              </w:rPr>
              <w:t>PREPARE</w:t>
            </w:r>
          </w:p>
          <w:p>
            <w:pPr>
              <w:jc w:val="center"/>
            </w:pPr>
            <w:r>
              <w:rPr>
                <w:b/>
                <w:color w:val="1F6FEB"/>
                <w:sz w:val="18"/>
              </w:rPr>
              <w:t>Before college</w:t>
            </w:r>
          </w:p>
          <w:p>
            <w:pPr>
              <w:spacing w:after="40"/>
              <w:jc w:val="center"/>
            </w:pPr>
            <w:r>
              <w:rPr>
                <w:sz w:val="17"/>
              </w:rPr>
              <w:t>Know yourself as a learner</w:t>
            </w:r>
          </w:p>
          <w:p>
            <w:pPr>
              <w:spacing w:after="40"/>
              <w:jc w:val="center"/>
            </w:pPr>
            <w:r>
              <w:rPr>
                <w:sz w:val="17"/>
              </w:rPr>
              <w:t>Recognize barriers</w:t>
            </w:r>
          </w:p>
          <w:p>
            <w:pPr>
              <w:spacing w:after="40"/>
              <w:jc w:val="center"/>
            </w:pPr>
            <w:r>
              <w:rPr>
                <w:sz w:val="17"/>
              </w:rPr>
              <w:t>Identify what helps</w:t>
            </w:r>
          </w:p>
          <w:p>
            <w:pPr>
              <w:spacing w:after="40"/>
              <w:jc w:val="center"/>
            </w:pPr>
            <w:r>
              <w:rPr>
                <w:sz w:val="17"/>
              </w:rPr>
              <w:t>Practice self-advocacy</w:t>
            </w:r>
          </w:p>
        </w:tc>
        <w:tc>
          <w:tcPr>
            <w:tcW w:type="dxa" w:w="3456"/>
            <w:shd w:fill="E8E0F8"/>
            <w:tcMar>
              <w:top w:w="180" w:type="dxa"/>
              <w:start w:w="170" w:type="dxa"/>
              <w:bottom w:w="180" w:type="dxa"/>
              <w:end w:w="170" w:type="dxa"/>
            </w:tcMar>
          </w:tcPr>
          <w:p>
            <w:pPr>
              <w:jc w:val="center"/>
            </w:pPr>
            <w:r>
              <w:rPr>
                <w:b/>
                <w:color w:val="152238"/>
                <w:sz w:val="30"/>
              </w:rPr>
              <w:t>BRIDGE</w:t>
            </w:r>
          </w:p>
          <w:p>
            <w:pPr>
              <w:jc w:val="center"/>
            </w:pPr>
            <w:r>
              <w:rPr>
                <w:b/>
                <w:color w:val="1F6FEB"/>
                <w:sz w:val="18"/>
              </w:rPr>
              <w:t>Transition / handoff</w:t>
            </w:r>
          </w:p>
          <w:p>
            <w:pPr>
              <w:spacing w:after="40"/>
              <w:jc w:val="center"/>
            </w:pPr>
            <w:r>
              <w:rPr>
                <w:sz w:val="17"/>
              </w:rPr>
              <w:t>Understand what changes</w:t>
            </w:r>
          </w:p>
          <w:p>
            <w:pPr>
              <w:spacing w:after="40"/>
              <w:jc w:val="center"/>
            </w:pPr>
            <w:r>
              <w:rPr>
                <w:sz w:val="17"/>
              </w:rPr>
              <w:t>Prepare disclosure questions</w:t>
            </w:r>
          </w:p>
          <w:p>
            <w:pPr>
              <w:spacing w:after="40"/>
              <w:jc w:val="center"/>
            </w:pPr>
            <w:r>
              <w:rPr>
                <w:sz w:val="17"/>
              </w:rPr>
              <w:t>Locate disability services</w:t>
            </w:r>
          </w:p>
          <w:p>
            <w:pPr>
              <w:spacing w:after="40"/>
              <w:jc w:val="center"/>
            </w:pPr>
            <w:r>
              <w:rPr>
                <w:sz w:val="17"/>
              </w:rPr>
              <w:t>Organize documentation</w:t>
            </w:r>
          </w:p>
        </w:tc>
        <w:tc>
          <w:tcPr>
            <w:tcW w:type="dxa" w:w="3456"/>
            <w:shd w:fill="DDF3EA"/>
            <w:tcMar>
              <w:top w:w="180" w:type="dxa"/>
              <w:start w:w="170" w:type="dxa"/>
              <w:bottom w:w="180" w:type="dxa"/>
              <w:end w:w="170" w:type="dxa"/>
            </w:tcMar>
          </w:tcPr>
          <w:p>
            <w:pPr>
              <w:jc w:val="center"/>
            </w:pPr>
            <w:r>
              <w:rPr>
                <w:b/>
                <w:color w:val="152238"/>
                <w:sz w:val="30"/>
              </w:rPr>
              <w:t>NAVIGATE</w:t>
            </w:r>
          </w:p>
          <w:p>
            <w:pPr>
              <w:jc w:val="center"/>
            </w:pPr>
            <w:r>
              <w:rPr>
                <w:b/>
                <w:color w:val="1F6FEB"/>
                <w:sz w:val="18"/>
              </w:rPr>
              <w:t>After enrollment</w:t>
            </w:r>
          </w:p>
          <w:p>
            <w:pPr>
              <w:spacing w:after="40"/>
              <w:jc w:val="center"/>
            </w:pPr>
            <w:r>
              <w:rPr>
                <w:sz w:val="17"/>
              </w:rPr>
              <w:t>Activate supports</w:t>
            </w:r>
          </w:p>
          <w:p>
            <w:pPr>
              <w:spacing w:after="40"/>
              <w:jc w:val="center"/>
            </w:pPr>
            <w:r>
              <w:rPr>
                <w:sz w:val="17"/>
              </w:rPr>
              <w:t>Prepare faculty communication</w:t>
            </w:r>
          </w:p>
          <w:p>
            <w:pPr>
              <w:spacing w:after="40"/>
              <w:jc w:val="center"/>
            </w:pPr>
            <w:r>
              <w:rPr>
                <w:sz w:val="17"/>
              </w:rPr>
              <w:t>Review implementation</w:t>
            </w:r>
          </w:p>
          <w:p>
            <w:pPr>
              <w:spacing w:after="40"/>
              <w:jc w:val="center"/>
            </w:pPr>
            <w:r>
              <w:rPr>
                <w:sz w:val="17"/>
              </w:rPr>
              <w:t>Escalate when needed</w:t>
            </w:r>
          </w:p>
        </w:tc>
      </w:tr>
    </w:tbl>
    <w:p>
      <w:pPr>
        <w:pStyle w:val="Heading2"/>
      </w:pPr>
      <w:r>
        <w:t>AI: Show the Technology Without Letting It Take Over</w:t>
      </w:r>
    </w:p>
    <w:tbl>
      <w:tblPr>
        <w:tblW w:type="auto" w:w="0"/>
        <w:jc w:val="center"/>
        <w:tblLook w:firstColumn="1" w:firstRow="1" w:lastColumn="0" w:lastRow="0" w:noHBand="0" w:noVBand="1" w:val="04A0"/>
      </w:tblPr>
      <w:tblGrid>
        <w:gridCol w:w="5184"/>
        <w:gridCol w:w="5184"/>
      </w:tblGrid>
      <w:tr>
        <w:tc>
          <w:tcPr>
            <w:tcW w:type="dxa" w:w="5184"/>
            <w:vAlign w:val="center"/>
            <w:tcMar>
              <w:top w:w="100" w:type="dxa"/>
              <w:start w:w="120" w:type="dxa"/>
              <w:bottom w:w="100" w:type="dxa"/>
              <w:end w:w="120" w:type="dxa"/>
            </w:tcMar>
            <w:shd w:fill="0F9D75"/>
          </w:tcPr>
          <w:p>
            <w:pPr>
              <w:jc w:val="center"/>
            </w:pPr>
            <w:r/>
            <w:r>
              <w:rPr>
                <w:rFonts w:ascii="Aptos" w:hAnsi="Aptos"/>
                <w:b/>
                <w:color w:val="FFFFFF"/>
                <w:sz w:val="19"/>
              </w:rPr>
              <w:t>AI Can Support</w:t>
            </w:r>
          </w:p>
        </w:tc>
        <w:tc>
          <w:tcPr>
            <w:tcW w:type="dxa" w:w="5184"/>
            <w:vAlign w:val="center"/>
            <w:tcMar>
              <w:top w:w="100" w:type="dxa"/>
              <w:start w:w="120" w:type="dxa"/>
              <w:bottom w:w="100" w:type="dxa"/>
              <w:end w:w="120" w:type="dxa"/>
            </w:tcMar>
            <w:shd w:fill="B54747"/>
          </w:tcPr>
          <w:p>
            <w:pPr>
              <w:jc w:val="center"/>
            </w:pPr>
            <w:r/>
            <w:r>
              <w:rPr>
                <w:rFonts w:ascii="Aptos" w:hAnsi="Aptos"/>
                <w:b/>
                <w:color w:val="FFFFFF"/>
                <w:sz w:val="19"/>
              </w:rPr>
              <w:t>AI Must Not Replace</w:t>
            </w:r>
          </w:p>
        </w:tc>
      </w:tr>
      <w:tr>
        <w:tc>
          <w:tcPr>
            <w:tcW w:type="dxa" w:w="5184"/>
            <w:vAlign w:val="center"/>
            <w:tcMar>
              <w:top w:w="100" w:type="dxa"/>
              <w:start w:w="120" w:type="dxa"/>
              <w:bottom w:w="100" w:type="dxa"/>
              <w:end w:w="120" w:type="dxa"/>
            </w:tcMar>
            <w:shd w:fill="F1FAF7"/>
          </w:tcPr>
          <w:p>
            <w:r/>
            <w:r>
              <w:rPr>
                <w:rFonts w:ascii="Aptos" w:hAnsi="Aptos"/>
                <w:b w:val="0"/>
                <w:color w:val="263238"/>
                <w:sz w:val="17"/>
              </w:rPr>
              <w:t>Clarify complex institutional information</w:t>
            </w:r>
          </w:p>
        </w:tc>
        <w:tc>
          <w:tcPr>
            <w:tcW w:type="dxa" w:w="5184"/>
            <w:vAlign w:val="center"/>
            <w:tcMar>
              <w:top w:w="100" w:type="dxa"/>
              <w:start w:w="120" w:type="dxa"/>
              <w:bottom w:w="100" w:type="dxa"/>
              <w:end w:w="120" w:type="dxa"/>
            </w:tcMar>
            <w:shd w:fill="FCF3F3"/>
          </w:tcPr>
          <w:p>
            <w:r/>
            <w:r>
              <w:rPr>
                <w:rFonts w:ascii="Aptos" w:hAnsi="Aptos"/>
                <w:b w:val="0"/>
                <w:color w:val="263238"/>
                <w:sz w:val="17"/>
              </w:rPr>
              <w:t>Diagnosis or disability inference</w:t>
            </w:r>
          </w:p>
        </w:tc>
      </w:tr>
      <w:tr>
        <w:tc>
          <w:tcPr>
            <w:tcW w:type="dxa" w:w="5184"/>
            <w:vAlign w:val="center"/>
            <w:tcMar>
              <w:top w:w="100" w:type="dxa"/>
              <w:start w:w="120" w:type="dxa"/>
              <w:bottom w:w="100" w:type="dxa"/>
              <w:end w:w="120" w:type="dxa"/>
            </w:tcMar>
            <w:shd w:fill="F1FAF7"/>
          </w:tcPr>
          <w:p>
            <w:r/>
            <w:r>
              <w:rPr>
                <w:rFonts w:ascii="Aptos" w:hAnsi="Aptos"/>
                <w:b w:val="0"/>
                <w:color w:val="263238"/>
                <w:sz w:val="17"/>
              </w:rPr>
              <w:t>Organize student-entered notes and questions</w:t>
            </w:r>
          </w:p>
        </w:tc>
        <w:tc>
          <w:tcPr>
            <w:tcW w:type="dxa" w:w="5184"/>
            <w:vAlign w:val="center"/>
            <w:tcMar>
              <w:top w:w="100" w:type="dxa"/>
              <w:start w:w="120" w:type="dxa"/>
              <w:bottom w:w="100" w:type="dxa"/>
              <w:end w:w="120" w:type="dxa"/>
            </w:tcMar>
            <w:shd w:fill="FCF3F3"/>
          </w:tcPr>
          <w:p>
            <w:r/>
            <w:r>
              <w:rPr>
                <w:rFonts w:ascii="Aptos" w:hAnsi="Aptos"/>
                <w:b w:val="0"/>
                <w:color w:val="263238"/>
                <w:sz w:val="17"/>
              </w:rPr>
              <w:t>Eligibility or legal determinations</w:t>
            </w:r>
          </w:p>
        </w:tc>
      </w:tr>
      <w:tr>
        <w:tc>
          <w:tcPr>
            <w:tcW w:type="dxa" w:w="5184"/>
            <w:vAlign w:val="center"/>
            <w:tcMar>
              <w:top w:w="100" w:type="dxa"/>
              <w:start w:w="120" w:type="dxa"/>
              <w:bottom w:w="100" w:type="dxa"/>
              <w:end w:w="120" w:type="dxa"/>
            </w:tcMar>
            <w:shd w:fill="F1FAF7"/>
          </w:tcPr>
          <w:p>
            <w:r/>
            <w:r>
              <w:rPr>
                <w:rFonts w:ascii="Aptos" w:hAnsi="Aptos"/>
                <w:b w:val="0"/>
                <w:color w:val="263238"/>
                <w:sz w:val="17"/>
              </w:rPr>
              <w:t>Rehearse a self-advocacy conversation</w:t>
            </w:r>
          </w:p>
        </w:tc>
        <w:tc>
          <w:tcPr>
            <w:tcW w:type="dxa" w:w="5184"/>
            <w:vAlign w:val="center"/>
            <w:tcMar>
              <w:top w:w="100" w:type="dxa"/>
              <w:start w:w="120" w:type="dxa"/>
              <w:bottom w:w="100" w:type="dxa"/>
              <w:end w:w="120" w:type="dxa"/>
            </w:tcMar>
            <w:shd w:fill="FCF3F3"/>
          </w:tcPr>
          <w:p>
            <w:r/>
            <w:r>
              <w:rPr>
                <w:rFonts w:ascii="Aptos" w:hAnsi="Aptos"/>
                <w:b w:val="0"/>
                <w:color w:val="263238"/>
                <w:sz w:val="17"/>
              </w:rPr>
              <w:t>Autonomous accommodation selection</w:t>
            </w:r>
          </w:p>
        </w:tc>
      </w:tr>
      <w:tr>
        <w:tc>
          <w:tcPr>
            <w:tcW w:type="dxa" w:w="5184"/>
            <w:vAlign w:val="center"/>
            <w:tcMar>
              <w:top w:w="100" w:type="dxa"/>
              <w:start w:w="120" w:type="dxa"/>
              <w:bottom w:w="100" w:type="dxa"/>
              <w:end w:w="120" w:type="dxa"/>
            </w:tcMar>
            <w:shd w:fill="F1FAF7"/>
          </w:tcPr>
          <w:p>
            <w:r/>
            <w:r>
              <w:rPr>
                <w:rFonts w:ascii="Aptos" w:hAnsi="Aptos"/>
                <w:b w:val="0"/>
                <w:color w:val="263238"/>
                <w:sz w:val="17"/>
              </w:rPr>
              <w:t>Navigate to verified resources</w:t>
            </w:r>
          </w:p>
        </w:tc>
        <w:tc>
          <w:tcPr>
            <w:tcW w:type="dxa" w:w="5184"/>
            <w:vAlign w:val="center"/>
            <w:tcMar>
              <w:top w:w="100" w:type="dxa"/>
              <w:start w:w="120" w:type="dxa"/>
              <w:bottom w:w="100" w:type="dxa"/>
              <w:end w:w="120" w:type="dxa"/>
            </w:tcMar>
            <w:shd w:fill="FCF3F3"/>
          </w:tcPr>
          <w:p>
            <w:r/>
            <w:r>
              <w:rPr>
                <w:rFonts w:ascii="Aptos" w:hAnsi="Aptos"/>
                <w:b w:val="0"/>
                <w:color w:val="263238"/>
                <w:sz w:val="17"/>
              </w:rPr>
              <w:t>Professional disability-services judgment</w:t>
            </w:r>
          </w:p>
        </w:tc>
      </w:tr>
      <w:tr>
        <w:tc>
          <w:tcPr>
            <w:tcW w:type="dxa" w:w="5184"/>
            <w:vAlign w:val="center"/>
            <w:tcMar>
              <w:top w:w="100" w:type="dxa"/>
              <w:start w:w="120" w:type="dxa"/>
              <w:bottom w:w="100" w:type="dxa"/>
              <w:end w:w="120" w:type="dxa"/>
            </w:tcMar>
            <w:shd w:fill="F1FAF7"/>
          </w:tcPr>
          <w:p>
            <w:r/>
            <w:r>
              <w:rPr>
                <w:rFonts w:ascii="Aptos" w:hAnsi="Aptos"/>
                <w:b w:val="0"/>
                <w:color w:val="263238"/>
                <w:sz w:val="17"/>
              </w:rPr>
              <w:t>Create editable summaries or process records</w:t>
            </w:r>
          </w:p>
        </w:tc>
        <w:tc>
          <w:tcPr>
            <w:tcW w:type="dxa" w:w="5184"/>
            <w:vAlign w:val="center"/>
            <w:tcMar>
              <w:top w:w="100" w:type="dxa"/>
              <w:start w:w="120" w:type="dxa"/>
              <w:bottom w:w="100" w:type="dxa"/>
              <w:end w:w="120" w:type="dxa"/>
            </w:tcMar>
            <w:shd w:fill="FCF3F3"/>
          </w:tcPr>
          <w:p>
            <w:r/>
            <w:r>
              <w:rPr>
                <w:rFonts w:ascii="Aptos" w:hAnsi="Aptos"/>
                <w:b w:val="0"/>
                <w:color w:val="263238"/>
                <w:sz w:val="17"/>
              </w:rPr>
              <w:t>Student agency and final decision-making</w:t>
            </w:r>
          </w:p>
        </w:tc>
      </w:tr>
    </w:tbl>
    <w:p>
      <w:pPr>
        <w:pStyle w:val="Heading2"/>
      </w:pPr>
      <w:r>
        <w:t>What “Tech-Forward” Should Look Like in the Project</w:t>
      </w:r>
    </w:p>
    <w:p>
      <w:r>
        <w:t>The visual language of the project should itself model accessible technology: clean information hierarchy, strong contrast, short information blocks, predictable navigation, student-controlled exports, clear AI labels, and visible handoffs to verified human resources. The dashboard, prototype, figures, and publication graphics should use the same design vocabulary so the scholarship and technology feel like one coherent program of work.</w:t>
      </w:r>
    </w:p>
    <w:p>
      <w:r>
        <w:br w:type="page"/>
      </w:r>
    </w:p>
    <w:p>
      <w:pPr>
        <w:spacing w:before="60" w:after="80"/>
      </w:pPr>
      <w:r>
        <w:rPr>
          <w:rFonts w:ascii="Aptos" w:hAnsi="Aptos"/>
          <w:b/>
          <w:color w:val="1F6FEB"/>
          <w:sz w:val="16"/>
        </w:rPr>
        <w:t>EXECUTION ROADMAP</w:t>
      </w:r>
    </w:p>
    <w:p>
      <w:pPr>
        <w:pStyle w:val="Heading1"/>
      </w:pPr>
      <w:r>
        <w:t>Next 90 Days</w:t>
      </w:r>
    </w:p>
    <w:tbl>
      <w:tblPr>
        <w:tblW w:type="auto" w:w="0"/>
        <w:jc w:val="center"/>
        <w:tblLook w:firstColumn="1" w:firstRow="1" w:lastColumn="0" w:lastRow="0" w:noHBand="0" w:noVBand="1" w:val="04A0"/>
      </w:tblPr>
      <w:tblGrid>
        <w:gridCol w:w="2592"/>
        <w:gridCol w:w="2592"/>
        <w:gridCol w:w="2592"/>
        <w:gridCol w:w="2592"/>
      </w:tblGrid>
      <w:tr>
        <w:tc>
          <w:tcPr>
            <w:tcW w:type="dxa" w:w="2592"/>
            <w:vAlign w:val="center"/>
            <w:tcMar>
              <w:top w:w="100" w:type="dxa"/>
              <w:start w:w="120" w:type="dxa"/>
              <w:bottom w:w="100" w:type="dxa"/>
              <w:end w:w="120" w:type="dxa"/>
            </w:tcMar>
            <w:shd w:fill="152238"/>
          </w:tcPr>
          <w:p>
            <w:pPr>
              <w:jc w:val="center"/>
            </w:pPr>
            <w:r/>
            <w:r>
              <w:rPr>
                <w:rFonts w:ascii="Aptos" w:hAnsi="Aptos"/>
                <w:b/>
                <w:color w:val="FFFFFF"/>
                <w:sz w:val="18"/>
              </w:rPr>
              <w:t>Window</w:t>
            </w:r>
          </w:p>
        </w:tc>
        <w:tc>
          <w:tcPr>
            <w:tcW w:type="dxa" w:w="2592"/>
            <w:vAlign w:val="center"/>
            <w:tcMar>
              <w:top w:w="100" w:type="dxa"/>
              <w:start w:w="120" w:type="dxa"/>
              <w:bottom w:w="100" w:type="dxa"/>
              <w:end w:w="120" w:type="dxa"/>
            </w:tcMar>
            <w:shd w:fill="152238"/>
          </w:tcPr>
          <w:p>
            <w:pPr>
              <w:jc w:val="center"/>
            </w:pPr>
            <w:r/>
            <w:r>
              <w:rPr>
                <w:rFonts w:ascii="Aptos" w:hAnsi="Aptos"/>
                <w:b/>
                <w:color w:val="FFFFFF"/>
                <w:sz w:val="18"/>
              </w:rPr>
              <w:t>Primary Focus</w:t>
            </w:r>
          </w:p>
        </w:tc>
        <w:tc>
          <w:tcPr>
            <w:tcW w:type="dxa" w:w="2592"/>
            <w:vAlign w:val="center"/>
            <w:tcMar>
              <w:top w:w="100" w:type="dxa"/>
              <w:start w:w="120" w:type="dxa"/>
              <w:bottom w:w="100" w:type="dxa"/>
              <w:end w:w="120" w:type="dxa"/>
            </w:tcMar>
            <w:shd w:fill="152238"/>
          </w:tcPr>
          <w:p>
            <w:pPr>
              <w:jc w:val="center"/>
            </w:pPr>
            <w:r/>
            <w:r>
              <w:rPr>
                <w:rFonts w:ascii="Aptos" w:hAnsi="Aptos"/>
                <w:b/>
                <w:color w:val="FFFFFF"/>
                <w:sz w:val="18"/>
              </w:rPr>
              <w:t>Deliverable</w:t>
            </w:r>
          </w:p>
        </w:tc>
        <w:tc>
          <w:tcPr>
            <w:tcW w:type="dxa" w:w="2592"/>
            <w:vAlign w:val="center"/>
            <w:tcMar>
              <w:top w:w="100" w:type="dxa"/>
              <w:start w:w="120" w:type="dxa"/>
              <w:bottom w:w="100" w:type="dxa"/>
              <w:end w:w="120" w:type="dxa"/>
            </w:tcMar>
            <w:shd w:fill="152238"/>
          </w:tcPr>
          <w:p>
            <w:pPr>
              <w:jc w:val="center"/>
            </w:pPr>
            <w:r/>
            <w:r>
              <w:rPr>
                <w:rFonts w:ascii="Aptos" w:hAnsi="Aptos"/>
                <w:b/>
                <w:color w:val="FFFFFF"/>
                <w:sz w:val="18"/>
              </w:rPr>
              <w:t>Advisor Touchpoint</w:t>
            </w:r>
          </w:p>
        </w:tc>
      </w:tr>
      <w:tr>
        <w:tc>
          <w:tcPr>
            <w:tcW w:type="dxa" w:w="2592"/>
            <w:vAlign w:val="center"/>
            <w:tcMar>
              <w:top w:w="100" w:type="dxa"/>
              <w:start w:w="120" w:type="dxa"/>
              <w:bottom w:w="100" w:type="dxa"/>
              <w:end w:w="120" w:type="dxa"/>
            </w:tcMar>
            <w:shd w:fill="F7F9FC"/>
          </w:tcPr>
          <w:p>
            <w:r/>
            <w:r>
              <w:rPr>
                <w:rFonts w:ascii="Aptos" w:hAnsi="Aptos"/>
                <w:b/>
                <w:color w:val="263238"/>
                <w:sz w:val="17"/>
              </w:rPr>
              <w:t>Now → late Sept</w:t>
            </w:r>
          </w:p>
        </w:tc>
        <w:tc>
          <w:tcPr>
            <w:tcW w:type="dxa" w:w="2592"/>
            <w:vAlign w:val="center"/>
            <w:tcMar>
              <w:top w:w="100" w:type="dxa"/>
              <w:start w:w="120" w:type="dxa"/>
              <w:bottom w:w="100" w:type="dxa"/>
              <w:end w:w="120" w:type="dxa"/>
            </w:tcMar>
            <w:shd w:fill="F7F9FC"/>
          </w:tcPr>
          <w:p>
            <w:r/>
            <w:r>
              <w:rPr>
                <w:rFonts w:ascii="Aptos" w:hAnsi="Aptos"/>
                <w:b w:val="0"/>
                <w:color w:val="263238"/>
                <w:sz w:val="17"/>
              </w:rPr>
              <w:t>Proposal + Paper 1</w:t>
            </w:r>
          </w:p>
        </w:tc>
        <w:tc>
          <w:tcPr>
            <w:tcW w:type="dxa" w:w="2592"/>
            <w:vAlign w:val="center"/>
            <w:tcMar>
              <w:top w:w="100" w:type="dxa"/>
              <w:start w:w="120" w:type="dxa"/>
              <w:bottom w:w="100" w:type="dxa"/>
              <w:end w:w="120" w:type="dxa"/>
            </w:tcMar>
            <w:shd w:fill="F7F9FC"/>
          </w:tcPr>
          <w:p>
            <w:r/>
            <w:r>
              <w:rPr>
                <w:rFonts w:ascii="Aptos" w:hAnsi="Aptos"/>
                <w:b w:val="0"/>
                <w:color w:val="263238"/>
                <w:sz w:val="17"/>
              </w:rPr>
              <w:t>Resolve committee feedback; complete Paper 1 evidence/citation audit</w:t>
            </w:r>
          </w:p>
        </w:tc>
        <w:tc>
          <w:tcPr>
            <w:tcW w:type="dxa" w:w="2592"/>
            <w:vAlign w:val="center"/>
            <w:tcMar>
              <w:top w:w="100" w:type="dxa"/>
              <w:start w:w="120" w:type="dxa"/>
              <w:bottom w:w="100" w:type="dxa"/>
              <w:end w:w="120" w:type="dxa"/>
            </w:tcMar>
            <w:shd w:fill="F7F9FC"/>
          </w:tcPr>
          <w:p>
            <w:r/>
            <w:r>
              <w:rPr>
                <w:rFonts w:ascii="Aptos" w:hAnsi="Aptos"/>
                <w:b w:val="0"/>
                <w:color w:val="263238"/>
                <w:sz w:val="17"/>
              </w:rPr>
              <w:t>Confirm scope and Paper 1 publication direction</w:t>
            </w:r>
          </w:p>
        </w:tc>
      </w:tr>
      <w:tr>
        <w:tc>
          <w:tcPr>
            <w:tcW w:type="dxa" w:w="2592"/>
            <w:vAlign w:val="center"/>
            <w:tcMar>
              <w:top w:w="100" w:type="dxa"/>
              <w:start w:w="120" w:type="dxa"/>
              <w:bottom w:w="100" w:type="dxa"/>
              <w:end w:w="120" w:type="dxa"/>
            </w:tcMar>
            <w:shd w:fill="F7F9FC"/>
          </w:tcPr>
          <w:p>
            <w:r/>
            <w:r>
              <w:rPr>
                <w:rFonts w:ascii="Aptos" w:hAnsi="Aptos"/>
                <w:b/>
                <w:color w:val="263238"/>
                <w:sz w:val="17"/>
              </w:rPr>
              <w:t>Late Sept → Oct</w:t>
            </w:r>
          </w:p>
        </w:tc>
        <w:tc>
          <w:tcPr>
            <w:tcW w:type="dxa" w:w="2592"/>
            <w:vAlign w:val="center"/>
            <w:tcMar>
              <w:top w:w="100" w:type="dxa"/>
              <w:start w:w="120" w:type="dxa"/>
              <w:bottom w:w="100" w:type="dxa"/>
              <w:end w:w="120" w:type="dxa"/>
            </w:tcMar>
            <w:shd w:fill="F7F9FC"/>
          </w:tcPr>
          <w:p>
            <w:r/>
            <w:r>
              <w:rPr>
                <w:rFonts w:ascii="Aptos" w:hAnsi="Aptos"/>
                <w:b w:val="0"/>
                <w:color w:val="263238"/>
                <w:sz w:val="17"/>
              </w:rPr>
              <w:t>Paper 2</w:t>
            </w:r>
          </w:p>
        </w:tc>
        <w:tc>
          <w:tcPr>
            <w:tcW w:type="dxa" w:w="2592"/>
            <w:vAlign w:val="center"/>
            <w:tcMar>
              <w:top w:w="100" w:type="dxa"/>
              <w:start w:w="120" w:type="dxa"/>
              <w:bottom w:w="100" w:type="dxa"/>
              <w:end w:w="120" w:type="dxa"/>
            </w:tcMar>
            <w:shd w:fill="F7F9FC"/>
          </w:tcPr>
          <w:p>
            <w:r/>
            <w:r>
              <w:rPr>
                <w:rFonts w:ascii="Aptos" w:hAnsi="Aptos"/>
                <w:b w:val="0"/>
                <w:color w:val="263238"/>
                <w:sz w:val="17"/>
              </w:rPr>
              <w:t>Close resource map; strengthen method; integrate strongest higher-ed evidence</w:t>
            </w:r>
          </w:p>
        </w:tc>
        <w:tc>
          <w:tcPr>
            <w:tcW w:type="dxa" w:w="2592"/>
            <w:vAlign w:val="center"/>
            <w:tcMar>
              <w:top w:w="100" w:type="dxa"/>
              <w:start w:w="120" w:type="dxa"/>
              <w:bottom w:w="100" w:type="dxa"/>
              <w:end w:w="120" w:type="dxa"/>
            </w:tcMar>
            <w:shd w:fill="F7F9FC"/>
          </w:tcPr>
          <w:p>
            <w:r/>
            <w:r>
              <w:rPr>
                <w:rFonts w:ascii="Aptos" w:hAnsi="Aptos"/>
                <w:b w:val="0"/>
                <w:color w:val="263238"/>
                <w:sz w:val="17"/>
              </w:rPr>
              <w:t>Review gap claim and “Access Continuity” framing</w:t>
            </w:r>
          </w:p>
        </w:tc>
      </w:tr>
      <w:tr>
        <w:tc>
          <w:tcPr>
            <w:tcW w:type="dxa" w:w="2592"/>
            <w:vAlign w:val="center"/>
            <w:tcMar>
              <w:top w:w="100" w:type="dxa"/>
              <w:start w:w="120" w:type="dxa"/>
              <w:bottom w:w="100" w:type="dxa"/>
              <w:end w:w="120" w:type="dxa"/>
            </w:tcMar>
            <w:shd w:fill="F7F9FC"/>
          </w:tcPr>
          <w:p>
            <w:r/>
            <w:r>
              <w:rPr>
                <w:rFonts w:ascii="Aptos" w:hAnsi="Aptos"/>
                <w:b/>
                <w:color w:val="263238"/>
                <w:sz w:val="17"/>
              </w:rPr>
              <w:t>Oct → Nov</w:t>
            </w:r>
          </w:p>
        </w:tc>
        <w:tc>
          <w:tcPr>
            <w:tcW w:type="dxa" w:w="2592"/>
            <w:vAlign w:val="center"/>
            <w:tcMar>
              <w:top w:w="100" w:type="dxa"/>
              <w:start w:w="120" w:type="dxa"/>
              <w:bottom w:w="100" w:type="dxa"/>
              <w:end w:w="120" w:type="dxa"/>
            </w:tcMar>
            <w:shd w:fill="F7F9FC"/>
          </w:tcPr>
          <w:p>
            <w:r/>
            <w:r>
              <w:rPr>
                <w:rFonts w:ascii="Aptos" w:hAnsi="Aptos"/>
                <w:b w:val="0"/>
                <w:color w:val="263238"/>
                <w:sz w:val="17"/>
              </w:rPr>
              <w:t>Paper 3 + prototype</w:t>
            </w:r>
          </w:p>
        </w:tc>
        <w:tc>
          <w:tcPr>
            <w:tcW w:type="dxa" w:w="2592"/>
            <w:vAlign w:val="center"/>
            <w:tcMar>
              <w:top w:w="100" w:type="dxa"/>
              <w:start w:w="120" w:type="dxa"/>
              <w:bottom w:w="100" w:type="dxa"/>
              <w:end w:w="120" w:type="dxa"/>
            </w:tcMar>
            <w:shd w:fill="F7F9FC"/>
          </w:tcPr>
          <w:p>
            <w:r/>
            <w:r>
              <w:rPr>
                <w:rFonts w:ascii="Aptos" w:hAnsi="Aptos"/>
                <w:b w:val="0"/>
                <w:color w:val="263238"/>
                <w:sz w:val="17"/>
              </w:rPr>
              <w:t>Translate verified needs/gaps into framework and bounded demo</w:t>
            </w:r>
          </w:p>
        </w:tc>
        <w:tc>
          <w:tcPr>
            <w:tcW w:type="dxa" w:w="2592"/>
            <w:vAlign w:val="center"/>
            <w:tcMar>
              <w:top w:w="100" w:type="dxa"/>
              <w:start w:w="120" w:type="dxa"/>
              <w:bottom w:w="100" w:type="dxa"/>
              <w:end w:w="120" w:type="dxa"/>
            </w:tcMar>
            <w:shd w:fill="F7F9FC"/>
          </w:tcPr>
          <w:p>
            <w:r/>
            <w:r>
              <w:rPr>
                <w:rFonts w:ascii="Aptos" w:hAnsi="Aptos"/>
                <w:b w:val="0"/>
                <w:color w:val="263238"/>
                <w:sz w:val="17"/>
              </w:rPr>
              <w:t>Review feature-to-evidence traceability</w:t>
            </w:r>
          </w:p>
        </w:tc>
      </w:tr>
      <w:tr>
        <w:tc>
          <w:tcPr>
            <w:tcW w:type="dxa" w:w="2592"/>
            <w:vAlign w:val="center"/>
            <w:tcMar>
              <w:top w:w="100" w:type="dxa"/>
              <w:start w:w="120" w:type="dxa"/>
              <w:bottom w:w="100" w:type="dxa"/>
              <w:end w:w="120" w:type="dxa"/>
            </w:tcMar>
            <w:shd w:fill="F7F9FC"/>
          </w:tcPr>
          <w:p>
            <w:r/>
            <w:r>
              <w:rPr>
                <w:rFonts w:ascii="Aptos" w:hAnsi="Aptos"/>
                <w:b/>
                <w:color w:val="263238"/>
                <w:sz w:val="17"/>
              </w:rPr>
              <w:t>Nov → Dec</w:t>
            </w:r>
          </w:p>
        </w:tc>
        <w:tc>
          <w:tcPr>
            <w:tcW w:type="dxa" w:w="2592"/>
            <w:vAlign w:val="center"/>
            <w:tcMar>
              <w:top w:w="100" w:type="dxa"/>
              <w:start w:w="120" w:type="dxa"/>
              <w:bottom w:w="100" w:type="dxa"/>
              <w:end w:w="120" w:type="dxa"/>
            </w:tcMar>
            <w:shd w:fill="F7F9FC"/>
          </w:tcPr>
          <w:p>
            <w:r/>
            <w:r>
              <w:rPr>
                <w:rFonts w:ascii="Aptos" w:hAnsi="Aptos"/>
                <w:b w:val="0"/>
                <w:color w:val="263238"/>
                <w:sz w:val="17"/>
              </w:rPr>
              <w:t>Integration</w:t>
            </w:r>
          </w:p>
        </w:tc>
        <w:tc>
          <w:tcPr>
            <w:tcW w:type="dxa" w:w="2592"/>
            <w:vAlign w:val="center"/>
            <w:tcMar>
              <w:top w:w="100" w:type="dxa"/>
              <w:start w:w="120" w:type="dxa"/>
              <w:bottom w:w="100" w:type="dxa"/>
              <w:end w:w="120" w:type="dxa"/>
            </w:tcMar>
            <w:shd w:fill="F7F9FC"/>
          </w:tcPr>
          <w:p>
            <w:r/>
            <w:r>
              <w:rPr>
                <w:rFonts w:ascii="Aptos" w:hAnsi="Aptos"/>
                <w:b w:val="0"/>
                <w:color w:val="263238"/>
                <w:sz w:val="17"/>
              </w:rPr>
              <w:t>Align terminology, references, figures, manuscripts, EDIS, and prototype documentation</w:t>
            </w:r>
          </w:p>
        </w:tc>
        <w:tc>
          <w:tcPr>
            <w:tcW w:type="dxa" w:w="2592"/>
            <w:vAlign w:val="center"/>
            <w:tcMar>
              <w:top w:w="100" w:type="dxa"/>
              <w:start w:w="120" w:type="dxa"/>
              <w:bottom w:w="100" w:type="dxa"/>
              <w:end w:w="120" w:type="dxa"/>
            </w:tcMar>
            <w:shd w:fill="F7F9FC"/>
          </w:tcPr>
          <w:p>
            <w:r/>
            <w:r>
              <w:rPr>
                <w:rFonts w:ascii="Aptos" w:hAnsi="Aptos"/>
                <w:b w:val="0"/>
                <w:color w:val="263238"/>
                <w:sz w:val="17"/>
              </w:rPr>
              <w:t>Publication readiness + Spring defense plan</w:t>
            </w:r>
          </w:p>
        </w:tc>
      </w:tr>
      <w:tr>
        <w:tc>
          <w:tcPr>
            <w:tcW w:type="dxa" w:w="2592"/>
            <w:vAlign w:val="center"/>
            <w:tcMar>
              <w:top w:w="100" w:type="dxa"/>
              <w:start w:w="120" w:type="dxa"/>
              <w:bottom w:w="100" w:type="dxa"/>
              <w:end w:w="120" w:type="dxa"/>
            </w:tcMar>
            <w:shd w:fill="F7F9FC"/>
          </w:tcPr>
          <w:p>
            <w:r/>
            <w:r>
              <w:rPr>
                <w:rFonts w:ascii="Aptos" w:hAnsi="Aptos"/>
                <w:b/>
                <w:color w:val="263238"/>
                <w:sz w:val="17"/>
              </w:rPr>
              <w:t>Spring 2027</w:t>
            </w:r>
          </w:p>
        </w:tc>
        <w:tc>
          <w:tcPr>
            <w:tcW w:type="dxa" w:w="2592"/>
            <w:vAlign w:val="center"/>
            <w:tcMar>
              <w:top w:w="100" w:type="dxa"/>
              <w:start w:w="120" w:type="dxa"/>
              <w:bottom w:w="100" w:type="dxa"/>
              <w:end w:w="120" w:type="dxa"/>
            </w:tcMar>
            <w:shd w:fill="F7F9FC"/>
          </w:tcPr>
          <w:p>
            <w:r/>
            <w:r>
              <w:rPr>
                <w:rFonts w:ascii="Aptos" w:hAnsi="Aptos"/>
                <w:b w:val="0"/>
                <w:color w:val="263238"/>
                <w:sz w:val="17"/>
              </w:rPr>
              <w:t>Completion</w:t>
            </w:r>
          </w:p>
        </w:tc>
        <w:tc>
          <w:tcPr>
            <w:tcW w:type="dxa" w:w="2592"/>
            <w:vAlign w:val="center"/>
            <w:tcMar>
              <w:top w:w="100" w:type="dxa"/>
              <w:start w:w="120" w:type="dxa"/>
              <w:bottom w:w="100" w:type="dxa"/>
              <w:end w:w="120" w:type="dxa"/>
            </w:tcMar>
            <w:shd w:fill="F7F9FC"/>
          </w:tcPr>
          <w:p>
            <w:r/>
            <w:r>
              <w:rPr>
                <w:rFonts w:ascii="Aptos" w:hAnsi="Aptos"/>
                <w:b w:val="0"/>
                <w:color w:val="263238"/>
                <w:sz w:val="17"/>
              </w:rPr>
              <w:t>Final revisions, defense, signed paperwork</w:t>
            </w:r>
          </w:p>
        </w:tc>
        <w:tc>
          <w:tcPr>
            <w:tcW w:type="dxa" w:w="2592"/>
            <w:vAlign w:val="center"/>
            <w:tcMar>
              <w:top w:w="100" w:type="dxa"/>
              <w:start w:w="120" w:type="dxa"/>
              <w:bottom w:w="100" w:type="dxa"/>
              <w:end w:w="120" w:type="dxa"/>
            </w:tcMar>
            <w:shd w:fill="F7F9FC"/>
          </w:tcPr>
          <w:p>
            <w:r/>
            <w:r>
              <w:rPr>
                <w:rFonts w:ascii="Aptos" w:hAnsi="Aptos"/>
                <w:b w:val="0"/>
                <w:color w:val="263238"/>
                <w:sz w:val="17"/>
              </w:rPr>
              <w:t>Final defense</w:t>
            </w:r>
          </w:p>
        </w:tc>
      </w:tr>
    </w:tbl>
    <w:p>
      <w:pPr>
        <w:pStyle w:val="Heading2"/>
      </w:pPr>
      <w:r>
        <w:t>Decision Log for Eric + Dr. Pracht</w:t>
      </w:r>
    </w:p>
    <w:p>
      <w:pPr>
        <w:spacing w:after="100"/>
      </w:pPr>
      <w:r>
        <w:rPr>
          <w:sz w:val="20"/>
        </w:rPr>
        <w:t>□ Confirm final UF scope and population boundary.</w:t>
      </w:r>
    </w:p>
    <w:p>
      <w:pPr>
        <w:spacing w:after="100"/>
      </w:pPr>
      <w:r>
        <w:rPr>
          <w:sz w:val="20"/>
        </w:rPr>
        <w:t>□ Confirm whether three-paper architecture is accepted for final non-thesis package.</w:t>
      </w:r>
    </w:p>
    <w:p>
      <w:pPr>
        <w:spacing w:after="100"/>
      </w:pPr>
      <w:r>
        <w:rPr>
          <w:sz w:val="20"/>
        </w:rPr>
        <w:t>□ Confirm publication targets / coauthor expectations for Papers 1 and 2.</w:t>
      </w:r>
    </w:p>
    <w:p>
      <w:pPr>
        <w:spacing w:after="100"/>
      </w:pPr>
      <w:r>
        <w:rPr>
          <w:sz w:val="20"/>
        </w:rPr>
        <w:t>□ Confirm Paper 2 method/resource-map completion standard.</w:t>
      </w:r>
    </w:p>
    <w:p>
      <w:pPr>
        <w:spacing w:after="100"/>
      </w:pPr>
      <w:r>
        <w:rPr>
          <w:sz w:val="20"/>
        </w:rPr>
        <w:t>□ Confirm whether “Access Continuity” remains a working concept or becomes a named framework.</w:t>
      </w:r>
    </w:p>
    <w:p>
      <w:pPr>
        <w:spacing w:after="100"/>
      </w:pPr>
      <w:r>
        <w:rPr>
          <w:sz w:val="20"/>
        </w:rPr>
        <w:t>□ Approve Paper 3 build sequence and prototype boundaries.</w:t>
      </w:r>
    </w:p>
    <w:p>
      <w:pPr>
        <w:spacing w:after="100"/>
      </w:pPr>
      <w:r>
        <w:rPr>
          <w:sz w:val="20"/>
        </w:rPr>
        <w:t>□ Confirm EDIS submission pathway and relationship to the scholarly papers.</w:t>
      </w:r>
    </w:p>
    <w:p>
      <w:pPr>
        <w:pStyle w:val="Heading2"/>
      </w:pPr>
      <w:r>
        <w:t>Source Package in This Review</w:t>
      </w:r>
    </w:p>
    <w:p>
      <w:pPr>
        <w:pStyle w:val="ListBullet"/>
      </w:pPr>
      <w:r>
        <w:t>FYCS Non-Thesis Project Proposal — Committee Defense Draft (September 2, 2026)</w:t>
      </w:r>
    </w:p>
    <w:p>
      <w:pPr>
        <w:pStyle w:val="ListBullet"/>
      </w:pPr>
      <w:r>
        <w:t>Paper 1 — Preparing Students with Invisible Disabilities for Postsecondary Education</w:t>
      </w:r>
    </w:p>
    <w:p>
      <w:pPr>
        <w:pStyle w:val="ListBullet"/>
      </w:pPr>
      <w:r>
        <w:t>Paper 2 — From Information to Access: Structured Resource and Gap Analysis</w:t>
      </w:r>
    </w:p>
    <w:p>
      <w:pPr>
        <w:pStyle w:val="ListBullet"/>
      </w:pPr>
      <w:r>
        <w:t>Paper 2 — Publication Development Draft (JPED-oriented development copy)</w:t>
      </w:r>
    </w:p>
    <w:p>
      <w:pPr>
        <w:pStyle w:val="ListBullet"/>
      </w:pPr>
      <w:r>
        <w:t>EDIS Draft — From High School to College: Building Self-Advocacy, Navigation, and Access</w:t>
      </w:r>
    </w:p>
    <w:p>
      <w:pPr>
        <w:spacing w:before="240"/>
        <w:jc w:val="center"/>
      </w:pPr>
      <w:r>
        <w:rPr>
          <w:b/>
          <w:color w:val="1F6FEB"/>
          <w:sz w:val="18"/>
        </w:rPr>
        <w:t>NORTH STAR</w:t>
      </w:r>
    </w:p>
    <w:p>
      <w:pPr>
        <w:jc w:val="center"/>
      </w:pPr>
      <w:r>
        <w:rPr>
          <w:b/>
          <w:color w:val="152238"/>
          <w:sz w:val="26"/>
        </w:rPr>
        <w:t>Build the evidence first. Verify the gap. Then use accessible technology to make the path easier to understand, navigate, and act on.</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4A3"/>
        <w:sz w:val="15"/>
      </w:rPr>
      <w:t>UF FYCS Non-Thesis Project  •  Project Command Center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6323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Display" w:hAnsi="Aptos Display"/>
      <w:b/>
      <w:bCs/>
      <w:color w:val="152238"/>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Display" w:hAnsi="Aptos Display"/>
      <w:b/>
      <w:bCs/>
      <w:color w:val="1F6FEB"/>
      <w:sz w:val="26"/>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Display" w:hAnsi="Aptos Display"/>
      <w:b/>
      <w:bCs/>
      <w:color w:val="15223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